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79CE" w14:textId="77777777" w:rsidR="00662C95" w:rsidRDefault="00662C95" w:rsidP="00785B35">
      <w:pPr>
        <w:ind w:right="0"/>
        <w:jc w:val="right"/>
      </w:pPr>
    </w:p>
    <w:p w14:paraId="734D163F" w14:textId="088F29F2" w:rsidR="00785B35" w:rsidRDefault="00785B35" w:rsidP="00785B35">
      <w:pPr>
        <w:ind w:right="0"/>
        <w:jc w:val="right"/>
      </w:pPr>
      <w:r>
        <w:t xml:space="preserve">LISA </w:t>
      </w:r>
      <w:r w:rsidR="00C40284">
        <w:t>3</w:t>
      </w:r>
      <w:r>
        <w:t xml:space="preserve"> / ANNEX </w:t>
      </w:r>
      <w:r w:rsidR="00C40284">
        <w:t>3</w:t>
      </w:r>
    </w:p>
    <w:p w14:paraId="6F5B68F1" w14:textId="68895BE3" w:rsidR="00785B35" w:rsidRDefault="00785B35" w:rsidP="00785B35">
      <w:pPr>
        <w:ind w:right="0"/>
        <w:jc w:val="right"/>
      </w:pPr>
      <w:r>
        <w:t>Hange „</w:t>
      </w:r>
      <w:r w:rsidR="00901FEE" w:rsidRPr="00901FEE">
        <w:t>Veebimonitooringusüsteemi kasutusõiguse soetamine ja seadistamine</w:t>
      </w:r>
      <w:r>
        <w:t xml:space="preserve">“ / </w:t>
      </w:r>
      <w:r w:rsidRPr="00785B35">
        <w:rPr>
          <w:lang w:val="en-GB"/>
        </w:rPr>
        <w:t>Procurement</w:t>
      </w:r>
      <w:r>
        <w:rPr>
          <w:lang w:val="en-GB"/>
        </w:rPr>
        <w:t xml:space="preserve"> “</w:t>
      </w:r>
      <w:r w:rsidR="001B18D5" w:rsidRPr="001B18D5">
        <w:rPr>
          <w:lang w:val="en-GB"/>
        </w:rPr>
        <w:t>Acquisition of the right of use for a web monitoring system and its configuration</w:t>
      </w:r>
      <w:r>
        <w:t>“</w:t>
      </w:r>
    </w:p>
    <w:p w14:paraId="20D5E1B6" w14:textId="17ECA5BF" w:rsidR="00785B35" w:rsidRDefault="00785B35" w:rsidP="00785B35">
      <w:pPr>
        <w:spacing w:after="0" w:line="259" w:lineRule="auto"/>
        <w:ind w:left="0" w:right="0" w:firstLine="0"/>
        <w:jc w:val="right"/>
        <w:rPr>
          <w:lang w:val="en-GB"/>
        </w:rPr>
      </w:pPr>
      <w:r>
        <w:t xml:space="preserve"> T</w:t>
      </w:r>
      <w:r w:rsidRPr="00653C40">
        <w:t>ehnili</w:t>
      </w:r>
      <w:r>
        <w:t xml:space="preserve">ne </w:t>
      </w:r>
      <w:r w:rsidRPr="00653C40">
        <w:t>kirjeldus ja funktsionaalsus</w:t>
      </w:r>
      <w:r>
        <w:t xml:space="preserve"> / </w:t>
      </w:r>
      <w:r>
        <w:rPr>
          <w:lang w:val="en-GB"/>
        </w:rPr>
        <w:t>T</w:t>
      </w:r>
      <w:r w:rsidRPr="00785B35">
        <w:rPr>
          <w:lang w:val="en-GB"/>
        </w:rPr>
        <w:t>he technical specifications and functionality</w:t>
      </w:r>
    </w:p>
    <w:p w14:paraId="1869B6A5" w14:textId="77777777" w:rsidR="0005532C" w:rsidRDefault="0005532C" w:rsidP="00785B35">
      <w:pPr>
        <w:spacing w:after="0" w:line="259" w:lineRule="auto"/>
        <w:ind w:left="0" w:right="0" w:firstLine="0"/>
        <w:jc w:val="right"/>
      </w:pPr>
    </w:p>
    <w:p w14:paraId="2C122E47" w14:textId="77777777" w:rsidR="00C548AE" w:rsidRDefault="00C548AE" w:rsidP="00434AC2">
      <w:pPr>
        <w:spacing w:after="0" w:line="259" w:lineRule="auto"/>
        <w:ind w:left="0" w:right="0" w:firstLine="0"/>
        <w:jc w:val="left"/>
        <w:rPr>
          <w:b/>
          <w:bCs/>
        </w:rPr>
      </w:pPr>
    </w:p>
    <w:p w14:paraId="5769F11D" w14:textId="77777777" w:rsidR="00662C95" w:rsidRDefault="00662C95" w:rsidP="00434AC2">
      <w:pPr>
        <w:spacing w:after="0" w:line="259" w:lineRule="auto"/>
        <w:ind w:left="0" w:right="0" w:firstLine="0"/>
        <w:jc w:val="left"/>
        <w:sectPr w:rsidR="00662C95" w:rsidSect="001F1F65">
          <w:footerReference w:type="default" r:id="rId8"/>
          <w:headerReference w:type="first" r:id="rId9"/>
          <w:pgSz w:w="16838" w:h="11906" w:orient="landscape" w:code="9"/>
          <w:pgMar w:top="1418" w:right="760" w:bottom="1412" w:left="1276" w:header="709" w:footer="709" w:gutter="0"/>
          <w:cols w:space="708"/>
          <w:titlePg/>
          <w:docGrid w:linePitch="326"/>
        </w:sectPr>
      </w:pPr>
    </w:p>
    <w:p w14:paraId="0298B829" w14:textId="37DDBB9C" w:rsidR="00662C95" w:rsidRDefault="00662C95" w:rsidP="00662C95">
      <w:pPr>
        <w:spacing w:after="120" w:line="259" w:lineRule="auto"/>
        <w:ind w:left="0" w:right="0" w:firstLine="0"/>
        <w:jc w:val="left"/>
        <w:rPr>
          <w:b/>
          <w:bCs/>
        </w:rPr>
      </w:pPr>
      <w:r w:rsidRPr="00C548AE">
        <w:rPr>
          <w:b/>
          <w:bCs/>
        </w:rPr>
        <w:t>Kasutatavad lühendid</w:t>
      </w:r>
      <w:r>
        <w:rPr>
          <w:b/>
          <w:bCs/>
        </w:rPr>
        <w:t>:</w:t>
      </w:r>
      <w:r w:rsidRPr="00C548AE">
        <w:rPr>
          <w:b/>
          <w:bCs/>
        </w:rPr>
        <w:t xml:space="preserve"> </w:t>
      </w:r>
    </w:p>
    <w:p w14:paraId="0D166E58" w14:textId="21F38458" w:rsidR="00434AC2" w:rsidRDefault="00434AC2" w:rsidP="00434AC2">
      <w:pPr>
        <w:spacing w:after="0" w:line="259" w:lineRule="auto"/>
        <w:ind w:left="0" w:right="0" w:firstLine="0"/>
        <w:jc w:val="left"/>
      </w:pPr>
      <w:r w:rsidRPr="00C548AE">
        <w:rPr>
          <w:b/>
          <w:bCs/>
        </w:rPr>
        <w:t>TTJA</w:t>
      </w:r>
      <w:r>
        <w:t xml:space="preserve"> – Tarbijakaitse ja Tehnilise Järelevalve </w:t>
      </w:r>
      <w:r w:rsidR="00624CF4">
        <w:t>A</w:t>
      </w:r>
      <w:r>
        <w:t>met</w:t>
      </w:r>
    </w:p>
    <w:p w14:paraId="5C316838" w14:textId="7980C2F4" w:rsidR="00C548AE" w:rsidRDefault="00901FEE" w:rsidP="00434AC2">
      <w:pPr>
        <w:spacing w:after="0" w:line="259" w:lineRule="auto"/>
        <w:ind w:left="0" w:right="0" w:firstLine="0"/>
        <w:jc w:val="left"/>
      </w:pPr>
      <w:r>
        <w:rPr>
          <w:b/>
          <w:bCs/>
        </w:rPr>
        <w:t>Veebimonitooringusüsteem</w:t>
      </w:r>
      <w:r w:rsidR="00C548AE">
        <w:t xml:space="preserve">– </w:t>
      </w:r>
      <w:r w:rsidRPr="00901FEE">
        <w:t xml:space="preserve">veebimonitooringusüsteem, mis võimaldab märksõnade, postituse sisu tüübi, keele, allika, teemaviite ja muu taolise tunnuse alusel infoühiskonnateenustes avaldatud teavet </w:t>
      </w:r>
      <w:proofErr w:type="spellStart"/>
      <w:r w:rsidRPr="00901FEE">
        <w:t>monitoorida</w:t>
      </w:r>
      <w:proofErr w:type="spellEnd"/>
      <w:r w:rsidRPr="00901FEE">
        <w:t xml:space="preserve">. </w:t>
      </w:r>
    </w:p>
    <w:p w14:paraId="4CB8731D" w14:textId="2F023685" w:rsidR="00C548AE" w:rsidRDefault="00C548AE" w:rsidP="00434AC2">
      <w:pPr>
        <w:spacing w:after="0" w:line="259" w:lineRule="auto"/>
        <w:ind w:left="0" w:right="0" w:firstLine="0"/>
        <w:jc w:val="left"/>
      </w:pPr>
      <w:r w:rsidRPr="00C548AE">
        <w:rPr>
          <w:b/>
          <w:bCs/>
        </w:rPr>
        <w:t>Hankija</w:t>
      </w:r>
      <w:r>
        <w:t xml:space="preserve"> - Tarbijakaitse ja Tehnilise Järelevalve Amet</w:t>
      </w:r>
    </w:p>
    <w:p w14:paraId="3BA77794" w14:textId="77777777" w:rsidR="00662C95" w:rsidRDefault="00662C95" w:rsidP="00434AC2">
      <w:pPr>
        <w:spacing w:after="0" w:line="259" w:lineRule="auto"/>
        <w:ind w:left="0" w:right="0" w:firstLine="0"/>
        <w:jc w:val="left"/>
      </w:pPr>
    </w:p>
    <w:p w14:paraId="6A6A7B0F" w14:textId="77777777" w:rsidR="00662C95" w:rsidRDefault="00662C95" w:rsidP="00434AC2">
      <w:pPr>
        <w:spacing w:after="0" w:line="259" w:lineRule="auto"/>
        <w:ind w:left="0" w:right="0" w:firstLine="0"/>
        <w:jc w:val="left"/>
      </w:pPr>
    </w:p>
    <w:p w14:paraId="73B5CF60" w14:textId="74332034" w:rsidR="00C548AE" w:rsidRPr="001D7222" w:rsidRDefault="00662C95" w:rsidP="00662C95">
      <w:pPr>
        <w:spacing w:after="120" w:line="259" w:lineRule="auto"/>
        <w:ind w:left="0" w:right="0" w:firstLine="0"/>
        <w:jc w:val="left"/>
        <w:rPr>
          <w:lang w:val="en-GB"/>
        </w:rPr>
      </w:pPr>
      <w:r w:rsidRPr="001D7222">
        <w:rPr>
          <w:b/>
          <w:bCs/>
          <w:lang w:val="en-GB"/>
        </w:rPr>
        <w:t>Abbreviations used:</w:t>
      </w:r>
    </w:p>
    <w:p w14:paraId="21D41156" w14:textId="77777777" w:rsidR="00C548AE" w:rsidRPr="001D7222" w:rsidRDefault="00C548AE" w:rsidP="00C548AE">
      <w:pPr>
        <w:spacing w:after="0" w:line="259" w:lineRule="auto"/>
        <w:ind w:left="0" w:right="0" w:firstLine="0"/>
        <w:jc w:val="left"/>
        <w:rPr>
          <w:lang w:val="en-GB"/>
        </w:rPr>
      </w:pPr>
      <w:r w:rsidRPr="001D7222">
        <w:rPr>
          <w:b/>
          <w:bCs/>
          <w:lang w:val="en-GB"/>
        </w:rPr>
        <w:t>CPTRA</w:t>
      </w:r>
      <w:r w:rsidRPr="001D7222">
        <w:rPr>
          <w:lang w:val="en-GB"/>
        </w:rPr>
        <w:t xml:space="preserve"> – Consumer Protection and Technical Regulatory Authority</w:t>
      </w:r>
    </w:p>
    <w:p w14:paraId="6C578B67" w14:textId="39A652C0" w:rsidR="00C548AE" w:rsidRPr="001D7222" w:rsidRDefault="001B18D5" w:rsidP="00434AC2">
      <w:pPr>
        <w:spacing w:after="0" w:line="259" w:lineRule="auto"/>
        <w:ind w:left="0" w:right="0" w:firstLine="0"/>
        <w:jc w:val="left"/>
        <w:rPr>
          <w:lang w:val="en-GB"/>
        </w:rPr>
      </w:pPr>
      <w:r w:rsidRPr="001D7222">
        <w:rPr>
          <w:b/>
          <w:bCs/>
          <w:lang w:val="en-GB"/>
        </w:rPr>
        <w:t>Web monitoring system</w:t>
      </w:r>
      <w:r w:rsidR="00C548AE" w:rsidRPr="001D7222">
        <w:rPr>
          <w:lang w:val="en-GB"/>
        </w:rPr>
        <w:t xml:space="preserve"> </w:t>
      </w:r>
      <w:r w:rsidR="00513C25" w:rsidRPr="001D7222">
        <w:rPr>
          <w:lang w:val="en-GB"/>
        </w:rPr>
        <w:t>–</w:t>
      </w:r>
      <w:r w:rsidR="00C548AE" w:rsidRPr="001D7222">
        <w:rPr>
          <w:lang w:val="en-GB"/>
        </w:rPr>
        <w:t xml:space="preserve"> </w:t>
      </w:r>
      <w:r w:rsidRPr="001D7222">
        <w:rPr>
          <w:lang w:val="en-GB"/>
        </w:rPr>
        <w:t>web monitoring system enabling the monitoring of information published in information society services based on keywords, content type, language, source, hashtags, and other similar attributes.</w:t>
      </w:r>
    </w:p>
    <w:p w14:paraId="1653D1A9" w14:textId="2BF2772E" w:rsidR="00C548AE" w:rsidRPr="001D7222" w:rsidRDefault="00C548AE" w:rsidP="00434AC2">
      <w:pPr>
        <w:spacing w:after="0" w:line="259" w:lineRule="auto"/>
        <w:ind w:left="0" w:right="0" w:firstLine="0"/>
        <w:jc w:val="left"/>
        <w:rPr>
          <w:lang w:val="en-GB"/>
        </w:rPr>
        <w:sectPr w:rsidR="00C548AE" w:rsidRPr="001D7222" w:rsidSect="00C548AE">
          <w:type w:val="continuous"/>
          <w:pgSz w:w="16838" w:h="11906" w:orient="landscape" w:code="9"/>
          <w:pgMar w:top="1418" w:right="760" w:bottom="1412" w:left="1276" w:header="709" w:footer="709" w:gutter="0"/>
          <w:cols w:num="2" w:space="708"/>
          <w:titlePg/>
          <w:docGrid w:linePitch="326"/>
        </w:sectPr>
      </w:pPr>
      <w:r w:rsidRPr="001B18D5">
        <w:rPr>
          <w:b/>
          <w:bCs/>
          <w:iCs/>
          <w:lang w:val="en-GB"/>
        </w:rPr>
        <w:t>The Contracting Authority</w:t>
      </w:r>
      <w:r w:rsidRPr="001B18D5">
        <w:rPr>
          <w:iCs/>
          <w:lang w:val="en-GB"/>
        </w:rPr>
        <w:t xml:space="preserve"> - </w:t>
      </w:r>
      <w:r w:rsidRPr="001D7222">
        <w:rPr>
          <w:lang w:val="en-GB"/>
        </w:rPr>
        <w:t>Consumer Protection and Technical Regulatory</w:t>
      </w:r>
      <w:r w:rsidR="00D178C2" w:rsidRPr="001D7222">
        <w:rPr>
          <w:lang w:val="en-GB"/>
        </w:rPr>
        <w:t xml:space="preserve"> Authority</w:t>
      </w:r>
    </w:p>
    <w:p w14:paraId="3551FF86" w14:textId="77777777" w:rsidR="00434AC2" w:rsidRDefault="00434AC2" w:rsidP="00434AC2">
      <w:pPr>
        <w:spacing w:after="0" w:line="259" w:lineRule="auto"/>
        <w:ind w:left="0" w:right="0" w:firstLine="0"/>
        <w:jc w:val="left"/>
      </w:pPr>
    </w:p>
    <w:tbl>
      <w:tblPr>
        <w:tblStyle w:val="Kontuurtabel"/>
        <w:tblW w:w="0" w:type="auto"/>
        <w:tblLook w:val="04A0" w:firstRow="1" w:lastRow="0" w:firstColumn="1" w:lastColumn="0" w:noHBand="0" w:noVBand="1"/>
      </w:tblPr>
      <w:tblGrid>
        <w:gridCol w:w="7368"/>
        <w:gridCol w:w="7369"/>
      </w:tblGrid>
      <w:tr w:rsidR="0005532C" w:rsidRPr="0005532C" w14:paraId="00EB10C5" w14:textId="77777777" w:rsidTr="00910A7A">
        <w:trPr>
          <w:trHeight w:val="606"/>
        </w:trPr>
        <w:tc>
          <w:tcPr>
            <w:tcW w:w="7368" w:type="dxa"/>
          </w:tcPr>
          <w:p w14:paraId="016B8F21" w14:textId="3AC18947" w:rsidR="0005532C" w:rsidRPr="0005532C" w:rsidRDefault="0005532C">
            <w:pPr>
              <w:spacing w:after="160" w:line="259" w:lineRule="auto"/>
              <w:ind w:left="0" w:right="0" w:firstLine="0"/>
              <w:jc w:val="left"/>
              <w:rPr>
                <w:b/>
                <w:bCs/>
              </w:rPr>
            </w:pPr>
            <w:r w:rsidRPr="0005532C">
              <w:rPr>
                <w:b/>
                <w:bCs/>
              </w:rPr>
              <w:t>Kirjeldus</w:t>
            </w:r>
          </w:p>
        </w:tc>
        <w:tc>
          <w:tcPr>
            <w:tcW w:w="7369" w:type="dxa"/>
          </w:tcPr>
          <w:p w14:paraId="165EA0DC" w14:textId="678B549C" w:rsidR="0005532C" w:rsidRPr="0005532C" w:rsidRDefault="0005532C">
            <w:pPr>
              <w:spacing w:after="160" w:line="259" w:lineRule="auto"/>
              <w:ind w:left="0" w:right="0" w:firstLine="0"/>
              <w:jc w:val="left"/>
              <w:rPr>
                <w:b/>
                <w:bCs/>
              </w:rPr>
            </w:pPr>
            <w:r>
              <w:rPr>
                <w:b/>
                <w:bCs/>
                <w:iCs/>
                <w:lang w:val="en-GB"/>
              </w:rPr>
              <w:t>S</w:t>
            </w:r>
            <w:r w:rsidRPr="0005532C">
              <w:rPr>
                <w:b/>
                <w:bCs/>
                <w:iCs/>
                <w:lang w:val="en-GB"/>
              </w:rPr>
              <w:t>pecification</w:t>
            </w:r>
          </w:p>
        </w:tc>
      </w:tr>
      <w:tr w:rsidR="0005532C" w14:paraId="288B3D42" w14:textId="77777777" w:rsidTr="0005532C">
        <w:tc>
          <w:tcPr>
            <w:tcW w:w="7368" w:type="dxa"/>
          </w:tcPr>
          <w:p w14:paraId="18F83062" w14:textId="71F9431B" w:rsidR="0005532C" w:rsidRDefault="00901FEE" w:rsidP="0005532C">
            <w:pPr>
              <w:spacing w:after="160" w:line="259" w:lineRule="auto"/>
              <w:ind w:left="0" w:right="0" w:firstLine="0"/>
              <w:jc w:val="left"/>
            </w:pPr>
            <w:r w:rsidRPr="00415558">
              <w:rPr>
                <w:iCs/>
                <w:color w:val="auto"/>
              </w:rPr>
              <w:t xml:space="preserve">Veebimonitooringusüsteemi </w:t>
            </w:r>
            <w:r w:rsidR="0005532C" w:rsidRPr="00415558">
              <w:rPr>
                <w:iCs/>
                <w:color w:val="auto"/>
              </w:rPr>
              <w:t xml:space="preserve">kasutusõigus (litsents) peab kehtima </w:t>
            </w:r>
            <w:r w:rsidR="00F37D00" w:rsidRPr="00415558">
              <w:rPr>
                <w:iCs/>
                <w:color w:val="auto"/>
              </w:rPr>
              <w:t xml:space="preserve">vähemalt </w:t>
            </w:r>
            <w:r w:rsidRPr="00415558">
              <w:rPr>
                <w:iCs/>
                <w:color w:val="auto"/>
              </w:rPr>
              <w:t>18 kuud</w:t>
            </w:r>
            <w:r w:rsidR="00F15519" w:rsidRPr="00415558">
              <w:rPr>
                <w:iCs/>
                <w:color w:val="auto"/>
              </w:rPr>
              <w:t xml:space="preserve"> alates selle üleandmisest</w:t>
            </w:r>
            <w:r w:rsidR="009F303C" w:rsidRPr="00415558">
              <w:rPr>
                <w:iCs/>
                <w:color w:val="auto"/>
              </w:rPr>
              <w:t xml:space="preserve"> Hankijale</w:t>
            </w:r>
            <w:r w:rsidR="0005532C" w:rsidRPr="00415558">
              <w:rPr>
                <w:iCs/>
                <w:color w:val="auto"/>
              </w:rPr>
              <w:t xml:space="preserve">. </w:t>
            </w:r>
          </w:p>
        </w:tc>
        <w:tc>
          <w:tcPr>
            <w:tcW w:w="7369" w:type="dxa"/>
          </w:tcPr>
          <w:p w14:paraId="0464CDB0" w14:textId="2A5830E0" w:rsidR="0005532C" w:rsidRDefault="0005532C" w:rsidP="0005532C">
            <w:pPr>
              <w:spacing w:after="160" w:line="259" w:lineRule="auto"/>
              <w:ind w:left="0" w:right="0" w:firstLine="0"/>
              <w:jc w:val="left"/>
            </w:pPr>
            <w:r w:rsidRPr="001F231E">
              <w:rPr>
                <w:iCs/>
                <w:lang w:val="en-GB"/>
              </w:rPr>
              <w:t xml:space="preserve">The right to use the </w:t>
            </w:r>
            <w:r w:rsidR="001B18D5">
              <w:rPr>
                <w:iCs/>
                <w:lang w:val="en-GB"/>
              </w:rPr>
              <w:t xml:space="preserve">Web </w:t>
            </w:r>
            <w:r w:rsidR="001D7222">
              <w:rPr>
                <w:iCs/>
                <w:lang w:val="en-GB"/>
              </w:rPr>
              <w:t>M</w:t>
            </w:r>
            <w:r w:rsidR="001B18D5">
              <w:rPr>
                <w:iCs/>
                <w:lang w:val="en-GB"/>
              </w:rPr>
              <w:t xml:space="preserve">onitoring System </w:t>
            </w:r>
            <w:r w:rsidRPr="001F231E">
              <w:rPr>
                <w:iCs/>
                <w:lang w:val="en-GB"/>
              </w:rPr>
              <w:t xml:space="preserve">(license) must be </w:t>
            </w:r>
            <w:r w:rsidR="00F37D00">
              <w:rPr>
                <w:iCs/>
                <w:lang w:val="en-GB"/>
              </w:rPr>
              <w:t xml:space="preserve">at least </w:t>
            </w:r>
            <w:r w:rsidR="001B18D5">
              <w:rPr>
                <w:iCs/>
                <w:lang w:val="en-GB"/>
              </w:rPr>
              <w:t>18 months</w:t>
            </w:r>
            <w:r w:rsidR="00F15519">
              <w:rPr>
                <w:iCs/>
                <w:lang w:val="en-GB"/>
              </w:rPr>
              <w:t xml:space="preserve"> </w:t>
            </w:r>
            <w:r w:rsidR="009F303C">
              <w:rPr>
                <w:iCs/>
                <w:lang w:val="en-GB"/>
              </w:rPr>
              <w:t xml:space="preserve">from </w:t>
            </w:r>
            <w:r w:rsidR="009F303C" w:rsidRPr="009F303C">
              <w:rPr>
                <w:iCs/>
                <w:lang w:val="en-US"/>
              </w:rPr>
              <w:t>the transfer of the right of use</w:t>
            </w:r>
            <w:r w:rsidR="009F303C">
              <w:rPr>
                <w:iCs/>
                <w:lang w:val="en-US"/>
              </w:rPr>
              <w:t xml:space="preserve"> to </w:t>
            </w:r>
            <w:r w:rsidR="009F303C" w:rsidRPr="001F231E">
              <w:rPr>
                <w:iCs/>
                <w:lang w:val="en-GB"/>
              </w:rPr>
              <w:t>The Contracting Authority</w:t>
            </w:r>
            <w:r w:rsidRPr="001F231E">
              <w:rPr>
                <w:iCs/>
                <w:lang w:val="en-GB"/>
              </w:rPr>
              <w:t>.</w:t>
            </w:r>
          </w:p>
        </w:tc>
      </w:tr>
      <w:tr w:rsidR="00EA670C" w14:paraId="2D1D6149" w14:textId="77777777" w:rsidTr="0005532C">
        <w:tc>
          <w:tcPr>
            <w:tcW w:w="7368" w:type="dxa"/>
          </w:tcPr>
          <w:p w14:paraId="27927769" w14:textId="45835C51" w:rsidR="00EA670C" w:rsidRPr="0025364E" w:rsidRDefault="00901FEE" w:rsidP="0005532C">
            <w:pPr>
              <w:spacing w:after="160" w:line="259" w:lineRule="auto"/>
              <w:ind w:left="0" w:right="0" w:firstLine="0"/>
              <w:jc w:val="left"/>
              <w:rPr>
                <w:iCs/>
              </w:rPr>
            </w:pPr>
            <w:bookmarkStart w:id="0" w:name="_Hlk215772514"/>
            <w:r>
              <w:rPr>
                <w:iCs/>
              </w:rPr>
              <w:t xml:space="preserve">Veebimonitooringusüsteemi seadistamine vastavalt tellija vajadustele ja </w:t>
            </w:r>
            <w:r w:rsidR="00EA670C">
              <w:rPr>
                <w:iCs/>
              </w:rPr>
              <w:t xml:space="preserve">kasutusõiguse üleandmine peab </w:t>
            </w:r>
            <w:r w:rsidR="00EA670C" w:rsidRPr="00415558">
              <w:rPr>
                <w:iCs/>
              </w:rPr>
              <w:t xml:space="preserve">toimuma </w:t>
            </w:r>
            <w:r w:rsidRPr="00415558">
              <w:rPr>
                <w:iCs/>
              </w:rPr>
              <w:t xml:space="preserve">20 </w:t>
            </w:r>
            <w:r w:rsidR="00EA670C" w:rsidRPr="00415558">
              <w:rPr>
                <w:iCs/>
              </w:rPr>
              <w:t>päeva jooksul</w:t>
            </w:r>
            <w:r w:rsidR="00EA670C">
              <w:rPr>
                <w:iCs/>
              </w:rPr>
              <w:t xml:space="preserve"> alates lepingu sõlmimisest</w:t>
            </w:r>
            <w:bookmarkEnd w:id="0"/>
            <w:r w:rsidR="00EA670C">
              <w:rPr>
                <w:iCs/>
              </w:rPr>
              <w:t>.</w:t>
            </w:r>
          </w:p>
        </w:tc>
        <w:tc>
          <w:tcPr>
            <w:tcW w:w="7369" w:type="dxa"/>
          </w:tcPr>
          <w:p w14:paraId="38FBC0BA" w14:textId="79DEA1CE" w:rsidR="00EA670C" w:rsidRPr="0049631E" w:rsidRDefault="001D7222" w:rsidP="0005532C">
            <w:pPr>
              <w:spacing w:after="160" w:line="259" w:lineRule="auto"/>
              <w:ind w:left="0" w:right="0" w:firstLine="0"/>
              <w:jc w:val="left"/>
              <w:rPr>
                <w:iCs/>
                <w:lang w:val="en-GB"/>
              </w:rPr>
            </w:pPr>
            <w:r w:rsidRPr="0049631E">
              <w:rPr>
                <w:iCs/>
                <w:lang w:val="en-GB"/>
              </w:rPr>
              <w:t>The configuration of the Web Monitoring System in accordance with the Contracting Authority's requirements and the transfer of the right of use shall be performed within 20 days of conclusion of the contract.</w:t>
            </w:r>
          </w:p>
        </w:tc>
      </w:tr>
      <w:tr w:rsidR="0005532C" w14:paraId="652735E5" w14:textId="77777777" w:rsidTr="0005532C">
        <w:tc>
          <w:tcPr>
            <w:tcW w:w="7368" w:type="dxa"/>
          </w:tcPr>
          <w:p w14:paraId="7FF8E7EE" w14:textId="216028A5" w:rsidR="0005532C" w:rsidRDefault="00901FEE" w:rsidP="0005532C">
            <w:pPr>
              <w:spacing w:after="160" w:line="259" w:lineRule="auto"/>
              <w:ind w:left="0" w:right="0" w:firstLine="0"/>
              <w:jc w:val="left"/>
            </w:pPr>
            <w:r>
              <w:rPr>
                <w:iCs/>
              </w:rPr>
              <w:t>Veebimonitooringusüsteem</w:t>
            </w:r>
            <w:r w:rsidR="0005532C" w:rsidRPr="0025364E">
              <w:rPr>
                <w:iCs/>
              </w:rPr>
              <w:t xml:space="preserve"> peab olema juurdepääsetav veebipõhise kasutajaliidese kaudu </w:t>
            </w:r>
            <w:r w:rsidR="00F37D00">
              <w:rPr>
                <w:iCs/>
              </w:rPr>
              <w:t>üle interneti</w:t>
            </w:r>
            <w:r w:rsidR="008C674E">
              <w:rPr>
                <w:iCs/>
              </w:rPr>
              <w:t xml:space="preserve"> (sealhulgas VPN-ühendust kasutades).</w:t>
            </w:r>
          </w:p>
        </w:tc>
        <w:tc>
          <w:tcPr>
            <w:tcW w:w="7369" w:type="dxa"/>
          </w:tcPr>
          <w:p w14:paraId="0AE68C73" w14:textId="36E556A3" w:rsidR="0005532C" w:rsidRDefault="0005532C" w:rsidP="0005532C">
            <w:pPr>
              <w:spacing w:after="160" w:line="259" w:lineRule="auto"/>
              <w:ind w:left="0" w:right="0" w:firstLine="0"/>
              <w:jc w:val="left"/>
            </w:pPr>
            <w:r w:rsidRPr="001F231E">
              <w:rPr>
                <w:iCs/>
                <w:lang w:val="en-GB"/>
              </w:rPr>
              <w:t xml:space="preserve">The </w:t>
            </w:r>
            <w:proofErr w:type="spellStart"/>
            <w:r w:rsidR="001D7222">
              <w:rPr>
                <w:iCs/>
              </w:rPr>
              <w:t>W</w:t>
            </w:r>
            <w:r w:rsidR="001D7222" w:rsidRPr="001D7222">
              <w:rPr>
                <w:iCs/>
              </w:rPr>
              <w:t>eb</w:t>
            </w:r>
            <w:proofErr w:type="spellEnd"/>
            <w:r w:rsidR="001D7222" w:rsidRPr="001D7222">
              <w:rPr>
                <w:iCs/>
              </w:rPr>
              <w:t xml:space="preserve"> </w:t>
            </w:r>
            <w:r w:rsidR="001D7222">
              <w:rPr>
                <w:iCs/>
              </w:rPr>
              <w:t>M</w:t>
            </w:r>
            <w:r w:rsidR="001D7222" w:rsidRPr="001D7222">
              <w:rPr>
                <w:iCs/>
              </w:rPr>
              <w:t xml:space="preserve">onitoring </w:t>
            </w:r>
            <w:r w:rsidR="001D7222">
              <w:rPr>
                <w:iCs/>
              </w:rPr>
              <w:t>S</w:t>
            </w:r>
            <w:r w:rsidR="001D7222" w:rsidRPr="001D7222">
              <w:rPr>
                <w:iCs/>
              </w:rPr>
              <w:t>ystem</w:t>
            </w:r>
            <w:r w:rsidRPr="001F231E">
              <w:rPr>
                <w:iCs/>
                <w:lang w:val="en-GB"/>
              </w:rPr>
              <w:t xml:space="preserve"> </w:t>
            </w:r>
            <w:r w:rsidR="008C674E" w:rsidRPr="008C674E">
              <w:rPr>
                <w:iCs/>
                <w:lang w:val="en-GB"/>
              </w:rPr>
              <w:t>must be accessible via a web-based user interface over the internet (including using a VPN connection)</w:t>
            </w:r>
            <w:r w:rsidRPr="001F231E">
              <w:rPr>
                <w:iCs/>
                <w:lang w:val="en-GB"/>
              </w:rPr>
              <w:t>.</w:t>
            </w:r>
          </w:p>
        </w:tc>
      </w:tr>
      <w:tr w:rsidR="0005532C" w14:paraId="5CF4F556" w14:textId="77777777" w:rsidTr="0005532C">
        <w:tc>
          <w:tcPr>
            <w:tcW w:w="7368" w:type="dxa"/>
          </w:tcPr>
          <w:p w14:paraId="57BBEE70" w14:textId="37830908" w:rsidR="0005532C" w:rsidRPr="00415558" w:rsidRDefault="00901FEE" w:rsidP="0005532C">
            <w:pPr>
              <w:spacing w:after="160" w:line="259" w:lineRule="auto"/>
              <w:ind w:left="0" w:right="0" w:firstLine="0"/>
              <w:jc w:val="left"/>
              <w:rPr>
                <w:color w:val="auto"/>
              </w:rPr>
            </w:pPr>
            <w:r w:rsidRPr="00415558">
              <w:rPr>
                <w:iCs/>
                <w:color w:val="auto"/>
              </w:rPr>
              <w:lastRenderedPageBreak/>
              <w:t>Veebimonitooringusüsteem</w:t>
            </w:r>
            <w:r w:rsidR="0005532C" w:rsidRPr="00415558">
              <w:rPr>
                <w:iCs/>
                <w:color w:val="auto"/>
              </w:rPr>
              <w:t xml:space="preserve">i peab olema võimalik kasutada levinumates veebibrauserites, näiteks Mozilla </w:t>
            </w:r>
            <w:proofErr w:type="spellStart"/>
            <w:r w:rsidR="0005532C" w:rsidRPr="00415558">
              <w:rPr>
                <w:iCs/>
                <w:color w:val="auto"/>
              </w:rPr>
              <w:t>Firefox</w:t>
            </w:r>
            <w:proofErr w:type="spellEnd"/>
            <w:r w:rsidR="0005532C" w:rsidRPr="00415558">
              <w:rPr>
                <w:iCs/>
                <w:color w:val="auto"/>
              </w:rPr>
              <w:t xml:space="preserve">, Google Chrome, Microsoft Edge. </w:t>
            </w:r>
          </w:p>
        </w:tc>
        <w:tc>
          <w:tcPr>
            <w:tcW w:w="7369" w:type="dxa"/>
          </w:tcPr>
          <w:p w14:paraId="5FB71797" w14:textId="4B65FF5F" w:rsidR="0005532C" w:rsidRDefault="0005532C" w:rsidP="0005532C">
            <w:pPr>
              <w:spacing w:after="160" w:line="259" w:lineRule="auto"/>
              <w:ind w:left="0" w:right="0" w:firstLine="0"/>
              <w:jc w:val="left"/>
            </w:pPr>
            <w:r w:rsidRPr="001F231E">
              <w:rPr>
                <w:iCs/>
                <w:lang w:val="en-GB"/>
              </w:rPr>
              <w:t xml:space="preserve">It must be possible to use the </w:t>
            </w:r>
            <w:r w:rsidR="001D7222" w:rsidRPr="001D7222">
              <w:rPr>
                <w:iCs/>
                <w:lang w:val="en-GB"/>
              </w:rPr>
              <w:t>Web Monitoring System</w:t>
            </w:r>
            <w:r w:rsidRPr="001F231E">
              <w:rPr>
                <w:iCs/>
                <w:lang w:val="en-GB"/>
              </w:rPr>
              <w:t xml:space="preserve"> in common web browsers, such as Mozilla Firefox, Google Chrome, Microsoft Edge. </w:t>
            </w:r>
          </w:p>
        </w:tc>
      </w:tr>
      <w:tr w:rsidR="0005532C" w14:paraId="00FC3D79" w14:textId="77777777" w:rsidTr="0005532C">
        <w:tc>
          <w:tcPr>
            <w:tcW w:w="7368" w:type="dxa"/>
          </w:tcPr>
          <w:p w14:paraId="3A6D21BD" w14:textId="2B21ABAA" w:rsidR="0005532C" w:rsidRDefault="00901FEE" w:rsidP="0005532C">
            <w:pPr>
              <w:spacing w:after="160" w:line="259" w:lineRule="auto"/>
              <w:ind w:left="0" w:right="0" w:firstLine="0"/>
              <w:jc w:val="left"/>
            </w:pPr>
            <w:r w:rsidRPr="00415558">
              <w:rPr>
                <w:iCs/>
                <w:color w:val="auto"/>
              </w:rPr>
              <w:t>Veebimonitooringusüsteem</w:t>
            </w:r>
            <w:r w:rsidR="0005532C" w:rsidRPr="00415558">
              <w:rPr>
                <w:iCs/>
                <w:color w:val="auto"/>
              </w:rPr>
              <w:t xml:space="preserve"> peab toetama kasutajate autentimist kas tehnilise vahendi (näiteks </w:t>
            </w:r>
            <w:proofErr w:type="spellStart"/>
            <w:r w:rsidR="0005532C" w:rsidRPr="00415558">
              <w:rPr>
                <w:iCs/>
                <w:color w:val="auto"/>
              </w:rPr>
              <w:t>ID-kaart</w:t>
            </w:r>
            <w:proofErr w:type="spellEnd"/>
            <w:r w:rsidR="0005532C" w:rsidRPr="00415558">
              <w:rPr>
                <w:iCs/>
                <w:color w:val="auto"/>
              </w:rPr>
              <w:t xml:space="preserve">, mobiil-ID, </w:t>
            </w:r>
            <w:proofErr w:type="spellStart"/>
            <w:r w:rsidR="0005532C" w:rsidRPr="00415558">
              <w:rPr>
                <w:iCs/>
                <w:color w:val="auto"/>
              </w:rPr>
              <w:t>Smart</w:t>
            </w:r>
            <w:proofErr w:type="spellEnd"/>
            <w:r w:rsidR="0005532C" w:rsidRPr="00415558">
              <w:rPr>
                <w:iCs/>
                <w:color w:val="auto"/>
              </w:rPr>
              <w:t>-ID), tehnoloogilise lahenduse (näiteks spetsiaalne tarkvara nutiseadmes) või parooli abil</w:t>
            </w:r>
            <w:r w:rsidR="00BE3B41" w:rsidRPr="00415558">
              <w:rPr>
                <w:iCs/>
                <w:color w:val="auto"/>
              </w:rPr>
              <w:t xml:space="preserve">. </w:t>
            </w:r>
            <w:r w:rsidR="00BE3B41">
              <w:rPr>
                <w:iCs/>
              </w:rPr>
              <w:t xml:space="preserve">Sobivaks parooliks peab olema võimalik määrata sõna või fraasi, mis on </w:t>
            </w:r>
            <w:r w:rsidR="007727AF">
              <w:rPr>
                <w:iCs/>
              </w:rPr>
              <w:t xml:space="preserve">vähemalt </w:t>
            </w:r>
            <w:r w:rsidR="0005532C" w:rsidRPr="0025364E">
              <w:rPr>
                <w:iCs/>
              </w:rPr>
              <w:t>8</w:t>
            </w:r>
            <w:r w:rsidR="007727AF">
              <w:rPr>
                <w:iCs/>
              </w:rPr>
              <w:t xml:space="preserve"> </w:t>
            </w:r>
            <w:r w:rsidR="0005532C" w:rsidRPr="0025364E">
              <w:rPr>
                <w:iCs/>
              </w:rPr>
              <w:t>tähemärki</w:t>
            </w:r>
            <w:r w:rsidR="00BE3B41">
              <w:rPr>
                <w:iCs/>
              </w:rPr>
              <w:t xml:space="preserve"> pikk</w:t>
            </w:r>
            <w:r w:rsidR="0005532C" w:rsidRPr="0025364E">
              <w:rPr>
                <w:iCs/>
              </w:rPr>
              <w:t xml:space="preserve">, </w:t>
            </w:r>
            <w:r w:rsidR="00BE3B41">
              <w:rPr>
                <w:iCs/>
              </w:rPr>
              <w:t xml:space="preserve">mille </w:t>
            </w:r>
            <w:r w:rsidR="0005532C" w:rsidRPr="0025364E">
              <w:rPr>
                <w:iCs/>
              </w:rPr>
              <w:t xml:space="preserve">hulgas </w:t>
            </w:r>
            <w:r w:rsidR="00BE3B41">
              <w:rPr>
                <w:iCs/>
              </w:rPr>
              <w:t xml:space="preserve">on </w:t>
            </w:r>
            <w:r w:rsidR="007727AF">
              <w:rPr>
                <w:iCs/>
              </w:rPr>
              <w:t xml:space="preserve">vähemalt </w:t>
            </w:r>
            <w:r w:rsidR="0005532C" w:rsidRPr="0025364E">
              <w:rPr>
                <w:iCs/>
              </w:rPr>
              <w:t>1 numb</w:t>
            </w:r>
            <w:r w:rsidR="007727AF">
              <w:rPr>
                <w:iCs/>
              </w:rPr>
              <w:t>er</w:t>
            </w:r>
            <w:r w:rsidR="0005532C" w:rsidRPr="0025364E">
              <w:rPr>
                <w:iCs/>
              </w:rPr>
              <w:t>, 1 suurtäht ja 1 sümbol.</w:t>
            </w:r>
          </w:p>
        </w:tc>
        <w:tc>
          <w:tcPr>
            <w:tcW w:w="7369" w:type="dxa"/>
          </w:tcPr>
          <w:p w14:paraId="07B42F33" w14:textId="63285360" w:rsidR="0005532C" w:rsidRDefault="0005532C" w:rsidP="0005532C">
            <w:pPr>
              <w:spacing w:after="160" w:line="259" w:lineRule="auto"/>
              <w:ind w:left="0" w:right="0" w:firstLine="0"/>
              <w:jc w:val="left"/>
            </w:pPr>
            <w:r w:rsidRPr="001F231E">
              <w:rPr>
                <w:iCs/>
                <w:lang w:val="en-GB"/>
              </w:rPr>
              <w:t xml:space="preserve">The </w:t>
            </w:r>
            <w:r w:rsidR="001D7222" w:rsidRPr="001D7222">
              <w:rPr>
                <w:iCs/>
                <w:lang w:val="en-GB"/>
              </w:rPr>
              <w:t>Web Monitoring System</w:t>
            </w:r>
            <w:r w:rsidRPr="001F231E">
              <w:rPr>
                <w:iCs/>
                <w:lang w:val="en-GB"/>
              </w:rPr>
              <w:t xml:space="preserve"> must support the authentication of users either by means of a technical tool (e.g. ID-card, Mobile-ID, Smart-ID), a technological solution (e.g. special software on a smart device) or a password</w:t>
            </w:r>
            <w:r w:rsidR="00BE3B41">
              <w:rPr>
                <w:iCs/>
                <w:lang w:val="en-GB"/>
              </w:rPr>
              <w:t xml:space="preserve">. Acceptable password must be </w:t>
            </w:r>
            <w:r w:rsidR="00BE3B41" w:rsidRPr="00BE3B41">
              <w:rPr>
                <w:iCs/>
                <w:lang w:val="en-GB"/>
              </w:rPr>
              <w:t>a word or phrase that is at least 8 characters long, including at least 1 number, 1 uppercase letter, and 1 symbol.</w:t>
            </w:r>
          </w:p>
        </w:tc>
      </w:tr>
      <w:tr w:rsidR="0005532C" w14:paraId="42EA5CE0" w14:textId="77777777" w:rsidTr="0005532C">
        <w:tc>
          <w:tcPr>
            <w:tcW w:w="7368" w:type="dxa"/>
          </w:tcPr>
          <w:p w14:paraId="0C490642" w14:textId="51F1F1D3" w:rsidR="0005532C" w:rsidRDefault="0005532C" w:rsidP="0005532C">
            <w:pPr>
              <w:spacing w:after="160" w:line="259" w:lineRule="auto"/>
              <w:ind w:left="0" w:right="0" w:firstLine="0"/>
              <w:jc w:val="left"/>
            </w:pPr>
            <w:r w:rsidRPr="00415558">
              <w:rPr>
                <w:iCs/>
                <w:color w:val="auto"/>
              </w:rPr>
              <w:t xml:space="preserve">TTJA-l peab olema õigus määrata kuni </w:t>
            </w:r>
            <w:r w:rsidR="00C512B1" w:rsidRPr="00415558">
              <w:rPr>
                <w:iCs/>
                <w:color w:val="auto"/>
              </w:rPr>
              <w:t>10</w:t>
            </w:r>
            <w:r w:rsidRPr="00415558">
              <w:rPr>
                <w:iCs/>
                <w:color w:val="auto"/>
              </w:rPr>
              <w:t xml:space="preserve"> </w:t>
            </w:r>
            <w:r w:rsidR="00901FEE" w:rsidRPr="00415558">
              <w:rPr>
                <w:iCs/>
                <w:color w:val="auto"/>
              </w:rPr>
              <w:t xml:space="preserve">veebimonitooringusüsteemi </w:t>
            </w:r>
            <w:r w:rsidRPr="00415558">
              <w:rPr>
                <w:iCs/>
                <w:color w:val="auto"/>
              </w:rPr>
              <w:t xml:space="preserve">kasutajat. </w:t>
            </w:r>
            <w:r w:rsidRPr="0025364E">
              <w:rPr>
                <w:iCs/>
              </w:rPr>
              <w:t xml:space="preserve">TTJA peab saama kasutajaid muuta, teavitades sellest pakkujat, kes vormistab uuele kasutajale juurdepääsu </w:t>
            </w:r>
            <w:r w:rsidR="00901FEE">
              <w:rPr>
                <w:iCs/>
              </w:rPr>
              <w:t>Veebimonitooringusüsteemile</w:t>
            </w:r>
            <w:r w:rsidRPr="0025364E">
              <w:rPr>
                <w:iCs/>
              </w:rPr>
              <w:t xml:space="preserve"> ja deaktiveerib eelmise kasutaja vastavalt TTJA poolt esitatud infole.</w:t>
            </w:r>
            <w:r w:rsidRPr="0025364E" w:rsidDel="003449D2">
              <w:rPr>
                <w:iCs/>
              </w:rPr>
              <w:t xml:space="preserve"> </w:t>
            </w:r>
          </w:p>
        </w:tc>
        <w:tc>
          <w:tcPr>
            <w:tcW w:w="7369" w:type="dxa"/>
          </w:tcPr>
          <w:p w14:paraId="6881C9DF" w14:textId="56DE85DA" w:rsidR="0005532C" w:rsidRDefault="0005532C" w:rsidP="0005532C">
            <w:pPr>
              <w:spacing w:after="160" w:line="259" w:lineRule="auto"/>
              <w:ind w:left="0" w:right="0" w:firstLine="0"/>
              <w:jc w:val="left"/>
            </w:pPr>
            <w:r w:rsidRPr="001F231E">
              <w:rPr>
                <w:iCs/>
                <w:lang w:val="en-GB"/>
              </w:rPr>
              <w:t xml:space="preserve">The CPTRA must have the right to designate up to </w:t>
            </w:r>
            <w:r w:rsidR="00C512B1">
              <w:rPr>
                <w:iCs/>
                <w:lang w:val="en-GB"/>
              </w:rPr>
              <w:t>10</w:t>
            </w:r>
            <w:r w:rsidRPr="001F231E">
              <w:rPr>
                <w:iCs/>
                <w:lang w:val="en-GB"/>
              </w:rPr>
              <w:t xml:space="preserve"> users of the </w:t>
            </w:r>
            <w:r w:rsidR="001D7222" w:rsidRPr="001D7222">
              <w:rPr>
                <w:iCs/>
                <w:lang w:val="en-GB"/>
              </w:rPr>
              <w:t>Web Monitoring System</w:t>
            </w:r>
            <w:r w:rsidRPr="001F231E">
              <w:rPr>
                <w:iCs/>
                <w:lang w:val="en-GB"/>
              </w:rPr>
              <w:t>. The CPTRA must be able to change the users by notifying the provider, who will formalise the new user</w:t>
            </w:r>
            <w:r>
              <w:rPr>
                <w:iCs/>
                <w:lang w:val="en-GB"/>
              </w:rPr>
              <w:t>’</w:t>
            </w:r>
            <w:r w:rsidRPr="001F231E">
              <w:rPr>
                <w:iCs/>
                <w:lang w:val="en-GB"/>
              </w:rPr>
              <w:t xml:space="preserve">s access to the </w:t>
            </w:r>
            <w:r w:rsidR="001D7222" w:rsidRPr="001D7222">
              <w:rPr>
                <w:iCs/>
                <w:lang w:val="en-GB"/>
              </w:rPr>
              <w:t>Web Monitoring System</w:t>
            </w:r>
            <w:r w:rsidRPr="001F231E">
              <w:rPr>
                <w:iCs/>
                <w:lang w:val="en-GB"/>
              </w:rPr>
              <w:t xml:space="preserve"> and deactivate the previous user in accordance with the information provided by the CPTRA. </w:t>
            </w:r>
          </w:p>
        </w:tc>
      </w:tr>
      <w:tr w:rsidR="0005532C" w14:paraId="2124654F" w14:textId="77777777" w:rsidTr="0005532C">
        <w:tc>
          <w:tcPr>
            <w:tcW w:w="7368" w:type="dxa"/>
          </w:tcPr>
          <w:p w14:paraId="3156A547" w14:textId="3B56BD89" w:rsidR="0005532C" w:rsidRDefault="00901FEE" w:rsidP="0005532C">
            <w:pPr>
              <w:spacing w:after="160" w:line="259" w:lineRule="auto"/>
              <w:ind w:left="0" w:right="0" w:firstLine="0"/>
              <w:jc w:val="left"/>
            </w:pPr>
            <w:r w:rsidRPr="00415558">
              <w:rPr>
                <w:iCs/>
                <w:color w:val="auto"/>
              </w:rPr>
              <w:t>Veebimonitooringusüsteem</w:t>
            </w:r>
            <w:r w:rsidR="0005532C" w:rsidRPr="00415558">
              <w:rPr>
                <w:iCs/>
                <w:color w:val="auto"/>
              </w:rPr>
              <w:t xml:space="preserve"> peab võimaldama korraga vähemalt </w:t>
            </w:r>
            <w:r w:rsidR="009073B4" w:rsidRPr="00415558">
              <w:rPr>
                <w:iCs/>
                <w:color w:val="auto"/>
              </w:rPr>
              <w:t>kolme</w:t>
            </w:r>
            <w:r w:rsidR="0005532C" w:rsidRPr="00415558">
              <w:rPr>
                <w:iCs/>
                <w:color w:val="auto"/>
              </w:rPr>
              <w:t xml:space="preserve"> aktiivset kasutussessiooni.</w:t>
            </w:r>
          </w:p>
        </w:tc>
        <w:tc>
          <w:tcPr>
            <w:tcW w:w="7369" w:type="dxa"/>
          </w:tcPr>
          <w:p w14:paraId="640F5B26" w14:textId="6DD846D3" w:rsidR="0005532C" w:rsidRDefault="0005532C" w:rsidP="0005532C">
            <w:pPr>
              <w:spacing w:after="160" w:line="259" w:lineRule="auto"/>
              <w:ind w:left="0" w:right="0" w:firstLine="0"/>
              <w:jc w:val="left"/>
            </w:pPr>
            <w:r w:rsidRPr="001F231E">
              <w:rPr>
                <w:iCs/>
                <w:lang w:val="en-GB"/>
              </w:rPr>
              <w:t xml:space="preserve">The </w:t>
            </w:r>
            <w:r w:rsidR="001D7222" w:rsidRPr="001D7222">
              <w:rPr>
                <w:iCs/>
                <w:lang w:val="en-GB"/>
              </w:rPr>
              <w:t>Web Monitoring System</w:t>
            </w:r>
            <w:r w:rsidRPr="001F231E">
              <w:rPr>
                <w:iCs/>
                <w:lang w:val="en-GB"/>
              </w:rPr>
              <w:t xml:space="preserve"> shall allow at least </w:t>
            </w:r>
            <w:r w:rsidR="001D7222">
              <w:rPr>
                <w:iCs/>
                <w:lang w:val="en-GB"/>
              </w:rPr>
              <w:t>three</w:t>
            </w:r>
            <w:r w:rsidRPr="001F231E">
              <w:rPr>
                <w:iCs/>
                <w:lang w:val="en-GB"/>
              </w:rPr>
              <w:t xml:space="preserve"> active session</w:t>
            </w:r>
            <w:r w:rsidR="001D7222">
              <w:rPr>
                <w:iCs/>
                <w:lang w:val="en-GB"/>
              </w:rPr>
              <w:t>s</w:t>
            </w:r>
            <w:r w:rsidRPr="001F231E">
              <w:rPr>
                <w:iCs/>
                <w:lang w:val="en-GB"/>
              </w:rPr>
              <w:t xml:space="preserve"> at a time.</w:t>
            </w:r>
          </w:p>
        </w:tc>
      </w:tr>
      <w:tr w:rsidR="00E8603E" w14:paraId="3BB80F0A" w14:textId="77777777" w:rsidTr="0005532C">
        <w:tc>
          <w:tcPr>
            <w:tcW w:w="7368" w:type="dxa"/>
          </w:tcPr>
          <w:p w14:paraId="0CF5866F" w14:textId="3BB7D1A4" w:rsidR="00E8603E" w:rsidRDefault="00E8603E" w:rsidP="0005532C">
            <w:pPr>
              <w:spacing w:after="160" w:line="259" w:lineRule="auto"/>
              <w:ind w:left="0" w:right="0" w:firstLine="0"/>
              <w:jc w:val="left"/>
              <w:rPr>
                <w:iCs/>
              </w:rPr>
            </w:pPr>
            <w:r w:rsidRPr="00415558">
              <w:rPr>
                <w:iCs/>
                <w:color w:val="auto"/>
              </w:rPr>
              <w:t xml:space="preserve">Veebimonitooringusüsteem peab võimaldama Hankijal teostada ühekordset märksõnapõhist otsingut ent luua ka alalisi märksõnapõhiseid otsinguid. </w:t>
            </w:r>
          </w:p>
        </w:tc>
        <w:tc>
          <w:tcPr>
            <w:tcW w:w="7369" w:type="dxa"/>
          </w:tcPr>
          <w:p w14:paraId="42330E4A" w14:textId="18D95913" w:rsidR="00E8603E" w:rsidRPr="001F231E" w:rsidRDefault="001D7222" w:rsidP="0005532C">
            <w:pPr>
              <w:spacing w:after="160" w:line="259" w:lineRule="auto"/>
              <w:ind w:left="0" w:right="0" w:firstLine="0"/>
              <w:jc w:val="left"/>
              <w:rPr>
                <w:iCs/>
                <w:lang w:val="en-GB"/>
              </w:rPr>
            </w:pPr>
            <w:r w:rsidRPr="001D7222">
              <w:rPr>
                <w:iCs/>
                <w:lang w:val="en-GB"/>
              </w:rPr>
              <w:t xml:space="preserve">The </w:t>
            </w:r>
            <w:r>
              <w:rPr>
                <w:iCs/>
                <w:lang w:val="en-GB"/>
              </w:rPr>
              <w:t>W</w:t>
            </w:r>
            <w:r w:rsidRPr="001D7222">
              <w:rPr>
                <w:iCs/>
                <w:lang w:val="en-GB"/>
              </w:rPr>
              <w:t xml:space="preserve">eb </w:t>
            </w:r>
            <w:r>
              <w:rPr>
                <w:iCs/>
                <w:lang w:val="en-GB"/>
              </w:rPr>
              <w:t>M</w:t>
            </w:r>
            <w:r w:rsidRPr="001D7222">
              <w:rPr>
                <w:iCs/>
                <w:lang w:val="en-GB"/>
              </w:rPr>
              <w:t xml:space="preserve">onitoring </w:t>
            </w:r>
            <w:r>
              <w:rPr>
                <w:iCs/>
                <w:lang w:val="en-GB"/>
              </w:rPr>
              <w:t>S</w:t>
            </w:r>
            <w:r w:rsidRPr="001D7222">
              <w:rPr>
                <w:iCs/>
                <w:lang w:val="en-GB"/>
              </w:rPr>
              <w:t>ystem must enable the Contracting Authority to perform one-off keyword-based searches as well as to create permanent keyword-based searches</w:t>
            </w:r>
            <w:r w:rsidR="00964987">
              <w:rPr>
                <w:iCs/>
                <w:lang w:val="en-GB"/>
              </w:rPr>
              <w:t>.</w:t>
            </w:r>
          </w:p>
        </w:tc>
      </w:tr>
      <w:tr w:rsidR="00E8603E" w14:paraId="2495E7DD" w14:textId="77777777" w:rsidTr="0005532C">
        <w:tc>
          <w:tcPr>
            <w:tcW w:w="7368" w:type="dxa"/>
          </w:tcPr>
          <w:p w14:paraId="5CBE0662" w14:textId="67DCB1BB" w:rsidR="00E8603E" w:rsidRDefault="00E8603E" w:rsidP="00E8603E">
            <w:pPr>
              <w:spacing w:after="160" w:line="259" w:lineRule="auto"/>
              <w:ind w:left="0" w:right="0" w:firstLine="0"/>
              <w:jc w:val="left"/>
              <w:rPr>
                <w:iCs/>
              </w:rPr>
            </w:pPr>
            <w:r w:rsidRPr="00415558">
              <w:rPr>
                <w:iCs/>
                <w:color w:val="auto"/>
              </w:rPr>
              <w:t xml:space="preserve">Hankija hindab, et 1 aasta jooksul teostab ta ühekordseid märksõnapõhiseid otsinguid umbes 10 000 korda. </w:t>
            </w:r>
          </w:p>
        </w:tc>
        <w:tc>
          <w:tcPr>
            <w:tcW w:w="7369" w:type="dxa"/>
          </w:tcPr>
          <w:p w14:paraId="0107D57E" w14:textId="51DC5F80" w:rsidR="00E8603E" w:rsidRPr="001F231E" w:rsidRDefault="00E8603E" w:rsidP="00E8603E">
            <w:pPr>
              <w:spacing w:after="160" w:line="259" w:lineRule="auto"/>
              <w:ind w:left="0" w:right="0" w:firstLine="0"/>
              <w:jc w:val="left"/>
              <w:rPr>
                <w:iCs/>
                <w:lang w:val="en-GB"/>
              </w:rPr>
            </w:pPr>
            <w:r w:rsidRPr="001F231E">
              <w:rPr>
                <w:iCs/>
                <w:lang w:val="en-GB"/>
              </w:rPr>
              <w:t xml:space="preserve">The Contracting Authority </w:t>
            </w:r>
            <w:r w:rsidRPr="00AF0934">
              <w:rPr>
                <w:iCs/>
                <w:lang w:val="en-GB"/>
              </w:rPr>
              <w:t xml:space="preserve">estimates that it will conduct </w:t>
            </w:r>
            <w:r w:rsidR="001B18D5">
              <w:rPr>
                <w:iCs/>
                <w:lang w:val="en-GB"/>
              </w:rPr>
              <w:t xml:space="preserve">keyword-based </w:t>
            </w:r>
            <w:r w:rsidRPr="00AF0934">
              <w:rPr>
                <w:iCs/>
                <w:lang w:val="en-GB"/>
              </w:rPr>
              <w:t>inquiries approximately</w:t>
            </w:r>
            <w:r>
              <w:rPr>
                <w:iCs/>
                <w:lang w:val="en-GB"/>
              </w:rPr>
              <w:t xml:space="preserve"> 10 000 times</w:t>
            </w:r>
            <w:r w:rsidRPr="00AF0934">
              <w:rPr>
                <w:iCs/>
                <w:lang w:val="en-GB"/>
              </w:rPr>
              <w:t xml:space="preserve"> within 1 year.</w:t>
            </w:r>
            <w:r w:rsidRPr="001F231E">
              <w:rPr>
                <w:iCs/>
                <w:lang w:val="en-GB"/>
              </w:rPr>
              <w:t xml:space="preserve"> </w:t>
            </w:r>
          </w:p>
        </w:tc>
      </w:tr>
      <w:tr w:rsidR="00E8603E" w14:paraId="322758F0" w14:textId="77777777" w:rsidTr="0005532C">
        <w:tc>
          <w:tcPr>
            <w:tcW w:w="7368" w:type="dxa"/>
          </w:tcPr>
          <w:p w14:paraId="4A1AA181" w14:textId="3EEE096C" w:rsidR="00E8603E" w:rsidRDefault="00E8603E" w:rsidP="00E8603E">
            <w:pPr>
              <w:spacing w:after="160" w:line="259" w:lineRule="auto"/>
              <w:ind w:left="0" w:right="0" w:firstLine="0"/>
              <w:jc w:val="left"/>
              <w:rPr>
                <w:iCs/>
              </w:rPr>
            </w:pPr>
            <w:r w:rsidRPr="00415558">
              <w:rPr>
                <w:iCs/>
                <w:color w:val="auto"/>
              </w:rPr>
              <w:t xml:space="preserve">Hankija soovib, et lepingu perioodil oleks võimalik luua vähemalt 10 alalist märksõnapõhist otsingut samaaegselt, mida </w:t>
            </w:r>
            <w:r w:rsidR="00CB0AC9" w:rsidRPr="00415558">
              <w:rPr>
                <w:iCs/>
                <w:color w:val="auto"/>
              </w:rPr>
              <w:t>H</w:t>
            </w:r>
            <w:r w:rsidRPr="00415558">
              <w:rPr>
                <w:iCs/>
                <w:color w:val="auto"/>
              </w:rPr>
              <w:t xml:space="preserve">ankijal peab olema võimalik lepinguperioodil muuta. </w:t>
            </w:r>
          </w:p>
        </w:tc>
        <w:tc>
          <w:tcPr>
            <w:tcW w:w="7369" w:type="dxa"/>
          </w:tcPr>
          <w:p w14:paraId="7AB2A315" w14:textId="5BD5F227" w:rsidR="00E8603E" w:rsidRPr="001F231E" w:rsidRDefault="0049631E" w:rsidP="00E8603E">
            <w:pPr>
              <w:spacing w:after="160" w:line="259" w:lineRule="auto"/>
              <w:ind w:left="0" w:right="0" w:firstLine="0"/>
              <w:jc w:val="left"/>
              <w:rPr>
                <w:iCs/>
                <w:lang w:val="en-GB"/>
              </w:rPr>
            </w:pPr>
            <w:r w:rsidRPr="0049631E">
              <w:rPr>
                <w:iCs/>
                <w:lang w:val="en-GB"/>
              </w:rPr>
              <w:t>The Contracting Authority requires the capability to maintain at least 10 concurrent permanent keyword-based searches during the contract period, which the Contracting Authority must be able to modify throughout the term of the contract.</w:t>
            </w:r>
          </w:p>
        </w:tc>
      </w:tr>
      <w:tr w:rsidR="00E8603E" w14:paraId="601186AD" w14:textId="77777777" w:rsidTr="0005532C">
        <w:tc>
          <w:tcPr>
            <w:tcW w:w="7368" w:type="dxa"/>
          </w:tcPr>
          <w:p w14:paraId="45D3CE73" w14:textId="1252A884" w:rsidR="00E8603E" w:rsidRDefault="00E8603E" w:rsidP="00E8603E">
            <w:pPr>
              <w:spacing w:after="160" w:line="259" w:lineRule="auto"/>
              <w:ind w:left="0" w:right="0" w:firstLine="0"/>
              <w:jc w:val="left"/>
            </w:pPr>
            <w:r w:rsidRPr="00415558">
              <w:rPr>
                <w:iCs/>
                <w:color w:val="auto"/>
              </w:rPr>
              <w:lastRenderedPageBreak/>
              <w:t xml:space="preserve">Pakkuja peab tagama </w:t>
            </w:r>
            <w:bookmarkStart w:id="1" w:name="_Hlk174452863"/>
            <w:r w:rsidRPr="00415558">
              <w:rPr>
                <w:iCs/>
                <w:color w:val="auto"/>
              </w:rPr>
              <w:t xml:space="preserve">eesti- või ingliskeelse kasutajatoe vähemalt e-posti vahendusel ja vähemalt ühe keskse kontaktisiku, kelle poole kasutajad saavad vajadusel pöörduda Veebimonitooringusüsteemi kasutamisega seonduvates küsimustes. Pakkujale jääb õigus kontaktisikut vahetada, teavitades sellest kasutajaid. Pakkuja peab tagama kasutajate pöördumisele vastamise esmaspäevast reedeni ühe </w:t>
            </w:r>
            <w:r w:rsidR="009A5146" w:rsidRPr="00415558">
              <w:rPr>
                <w:iCs/>
                <w:color w:val="auto"/>
              </w:rPr>
              <w:t>töö</w:t>
            </w:r>
            <w:r w:rsidRPr="00415558">
              <w:rPr>
                <w:iCs/>
                <w:color w:val="auto"/>
              </w:rPr>
              <w:t>päeva jooksul.</w:t>
            </w:r>
            <w:bookmarkEnd w:id="1"/>
          </w:p>
        </w:tc>
        <w:tc>
          <w:tcPr>
            <w:tcW w:w="7369" w:type="dxa"/>
          </w:tcPr>
          <w:p w14:paraId="69A3F4E8" w14:textId="1BFED881" w:rsidR="00E8603E" w:rsidRDefault="00E8603E" w:rsidP="00E8603E">
            <w:pPr>
              <w:spacing w:after="160" w:line="259" w:lineRule="auto"/>
              <w:ind w:left="0" w:right="0" w:firstLine="0"/>
              <w:jc w:val="left"/>
            </w:pPr>
            <w:r w:rsidRPr="001F231E">
              <w:rPr>
                <w:iCs/>
                <w:lang w:val="en-GB"/>
              </w:rPr>
              <w:t xml:space="preserve">The provider must provide a helpdesk </w:t>
            </w:r>
            <w:r>
              <w:rPr>
                <w:iCs/>
                <w:lang w:val="en-GB"/>
              </w:rPr>
              <w:t>I</w:t>
            </w:r>
            <w:r w:rsidRPr="001F231E">
              <w:rPr>
                <w:iCs/>
                <w:lang w:val="en-GB"/>
              </w:rPr>
              <w:t xml:space="preserve">n Estonian or English at least by e-mail and at least one central contact person to whom users can, if necessary, address questions related to the use of the </w:t>
            </w:r>
            <w:r w:rsidR="0049631E" w:rsidRPr="0049631E">
              <w:rPr>
                <w:iCs/>
                <w:lang w:val="en-GB"/>
              </w:rPr>
              <w:t>Web Monitoring System</w:t>
            </w:r>
            <w:r w:rsidRPr="001F231E">
              <w:rPr>
                <w:iCs/>
                <w:lang w:val="en-GB"/>
              </w:rPr>
              <w:t xml:space="preserve">. The provider retains the right to </w:t>
            </w:r>
            <w:r w:rsidRPr="001F231E">
              <w:rPr>
                <w:iCs/>
                <w:color w:val="000000" w:themeColor="text1"/>
                <w:lang w:val="en-GB"/>
              </w:rPr>
              <w:t>change the contact person, notifying the users thereof. The provider must ensure that users</w:t>
            </w:r>
            <w:r>
              <w:rPr>
                <w:iCs/>
                <w:color w:val="000000" w:themeColor="text1"/>
                <w:lang w:val="en-GB"/>
              </w:rPr>
              <w:t>’</w:t>
            </w:r>
            <w:r w:rsidRPr="001F231E">
              <w:rPr>
                <w:iCs/>
                <w:color w:val="000000" w:themeColor="text1"/>
                <w:lang w:val="en-GB"/>
              </w:rPr>
              <w:t xml:space="preserve"> requests are answered from Monday to Friday within one </w:t>
            </w:r>
            <w:r w:rsidR="0049631E">
              <w:rPr>
                <w:iCs/>
                <w:color w:val="000000" w:themeColor="text1"/>
                <w:lang w:val="en-GB"/>
              </w:rPr>
              <w:t xml:space="preserve">working </w:t>
            </w:r>
            <w:r w:rsidRPr="001F231E">
              <w:rPr>
                <w:iCs/>
                <w:color w:val="000000" w:themeColor="text1"/>
                <w:lang w:val="en-GB"/>
              </w:rPr>
              <w:t>day.</w:t>
            </w:r>
          </w:p>
        </w:tc>
      </w:tr>
      <w:tr w:rsidR="00E8603E" w14:paraId="790EE058" w14:textId="77777777" w:rsidTr="0005532C">
        <w:tc>
          <w:tcPr>
            <w:tcW w:w="7368" w:type="dxa"/>
          </w:tcPr>
          <w:p w14:paraId="7BEDDC10" w14:textId="11E6D826" w:rsidR="00E8603E" w:rsidRDefault="00E8603E" w:rsidP="00E8603E">
            <w:pPr>
              <w:spacing w:after="160" w:line="259" w:lineRule="auto"/>
              <w:ind w:left="0" w:right="0" w:firstLine="0"/>
              <w:jc w:val="left"/>
            </w:pPr>
            <w:r w:rsidRPr="00415558">
              <w:rPr>
                <w:iCs/>
                <w:color w:val="auto"/>
              </w:rPr>
              <w:t xml:space="preserve">Pakkuja kohustub </w:t>
            </w:r>
            <w:bookmarkStart w:id="2" w:name="_Hlk174453114"/>
            <w:r w:rsidRPr="00415558">
              <w:rPr>
                <w:iCs/>
                <w:color w:val="auto"/>
              </w:rPr>
              <w:t>viima läbi Veebimonitooringusüsteemi kasutajakoolituse 14 päeva jooksul arvates kasutusõiguse üleandmisest TTJA-</w:t>
            </w:r>
            <w:proofErr w:type="spellStart"/>
            <w:r w:rsidRPr="00415558">
              <w:rPr>
                <w:iCs/>
                <w:color w:val="auto"/>
              </w:rPr>
              <w:t>le</w:t>
            </w:r>
            <w:proofErr w:type="spellEnd"/>
            <w:r w:rsidRPr="00415558">
              <w:rPr>
                <w:iCs/>
                <w:color w:val="auto"/>
              </w:rPr>
              <w:t xml:space="preserve">. </w:t>
            </w:r>
            <w:bookmarkStart w:id="3" w:name="_Hlk174453441"/>
            <w:r w:rsidRPr="00415558">
              <w:rPr>
                <w:iCs/>
                <w:color w:val="auto"/>
              </w:rPr>
              <w:t>Kasutusõiguse üleandmiseks loetakse TTJA kasutajatele Veebimonitooringusüsteemi juurdepääsu võimaldamist, milleks võib olla ka pakkuja poolt loodud kasutajaandmete (kasutajanimi ja ajutine parool) edastamist e-kirjaga</w:t>
            </w:r>
            <w:bookmarkEnd w:id="3"/>
            <w:r w:rsidRPr="00415558">
              <w:rPr>
                <w:iCs/>
                <w:color w:val="auto"/>
              </w:rPr>
              <w:t>.  Kasutajakoolitus viiakse läbi virtuaalselt ja peab sisaldama Veebimonitooringusüsteemi kasutamiseks vajalike tegevuste ja funktsionaalsuste tutvustusi ning näidisotsingute sooritamist.</w:t>
            </w:r>
            <w:bookmarkEnd w:id="2"/>
          </w:p>
        </w:tc>
        <w:tc>
          <w:tcPr>
            <w:tcW w:w="7369" w:type="dxa"/>
          </w:tcPr>
          <w:p w14:paraId="6F20431A" w14:textId="60981C60" w:rsidR="00E8603E" w:rsidRDefault="00E8603E" w:rsidP="00E8603E">
            <w:pPr>
              <w:spacing w:after="160" w:line="259" w:lineRule="auto"/>
              <w:ind w:left="0" w:right="0" w:firstLine="0"/>
              <w:jc w:val="left"/>
            </w:pPr>
            <w:r w:rsidRPr="001F231E">
              <w:rPr>
                <w:iCs/>
                <w:lang w:val="en-GB"/>
              </w:rPr>
              <w:t xml:space="preserve">The Provider undertakes to conduct </w:t>
            </w:r>
            <w:r w:rsidR="0049631E" w:rsidRPr="0049631E">
              <w:rPr>
                <w:iCs/>
                <w:lang w:val="en-GB"/>
              </w:rPr>
              <w:t>Web Monitoring System</w:t>
            </w:r>
            <w:r w:rsidRPr="001F231E">
              <w:rPr>
                <w:iCs/>
                <w:lang w:val="en-GB"/>
              </w:rPr>
              <w:t xml:space="preserve"> user training within 14 days from the transfer of the right of use to the CPTRA. The transfer of the right of use</w:t>
            </w:r>
            <w:r>
              <w:rPr>
                <w:iCs/>
                <w:lang w:val="en-GB"/>
              </w:rPr>
              <w:t xml:space="preserve"> may be, among other ways, the </w:t>
            </w:r>
            <w:r w:rsidRPr="001F231E">
              <w:rPr>
                <w:iCs/>
                <w:lang w:val="en-GB"/>
              </w:rPr>
              <w:t xml:space="preserve">forwarding of the user data (username and temporary password) created by the provider to the users of the </w:t>
            </w:r>
            <w:r>
              <w:rPr>
                <w:iCs/>
                <w:lang w:val="en-GB"/>
              </w:rPr>
              <w:t>CPTRA</w:t>
            </w:r>
            <w:r w:rsidRPr="001F231E">
              <w:rPr>
                <w:iCs/>
                <w:lang w:val="en-GB"/>
              </w:rPr>
              <w:t xml:space="preserve"> for the use of the </w:t>
            </w:r>
            <w:r w:rsidR="0049631E" w:rsidRPr="0049631E">
              <w:rPr>
                <w:iCs/>
                <w:lang w:val="en-GB"/>
              </w:rPr>
              <w:t>Web Monitoring System</w:t>
            </w:r>
            <w:r w:rsidRPr="001F231E">
              <w:rPr>
                <w:iCs/>
                <w:lang w:val="en-GB"/>
              </w:rPr>
              <w:t xml:space="preserve"> by e-mail. User training </w:t>
            </w:r>
            <w:r>
              <w:rPr>
                <w:iCs/>
                <w:lang w:val="en-GB"/>
              </w:rPr>
              <w:t xml:space="preserve">must be </w:t>
            </w:r>
            <w:r w:rsidRPr="001F231E">
              <w:rPr>
                <w:iCs/>
                <w:lang w:val="en-GB"/>
              </w:rPr>
              <w:t xml:space="preserve">conducted virtually and include introductions to the activities and functionalities necessary for using the </w:t>
            </w:r>
            <w:r w:rsidR="0049631E" w:rsidRPr="0049631E">
              <w:rPr>
                <w:iCs/>
                <w:lang w:val="en-GB"/>
              </w:rPr>
              <w:t>Web Monitoring System</w:t>
            </w:r>
            <w:r w:rsidRPr="001F231E">
              <w:rPr>
                <w:iCs/>
                <w:lang w:val="en-GB"/>
              </w:rPr>
              <w:t xml:space="preserve"> and performing sample searches.</w:t>
            </w:r>
          </w:p>
        </w:tc>
      </w:tr>
      <w:tr w:rsidR="00E8603E" w14:paraId="62092E1F" w14:textId="77777777" w:rsidTr="0005532C">
        <w:tc>
          <w:tcPr>
            <w:tcW w:w="7368" w:type="dxa"/>
          </w:tcPr>
          <w:p w14:paraId="74A580A7" w14:textId="02BC002E" w:rsidR="00E8603E" w:rsidRPr="0025364E" w:rsidRDefault="00E8603E" w:rsidP="00E8603E">
            <w:pPr>
              <w:spacing w:after="160" w:line="259" w:lineRule="auto"/>
              <w:ind w:left="0" w:right="0" w:firstLine="0"/>
              <w:jc w:val="left"/>
              <w:rPr>
                <w:iCs/>
              </w:rPr>
            </w:pPr>
            <w:r w:rsidRPr="00415558">
              <w:rPr>
                <w:iCs/>
                <w:color w:val="auto"/>
              </w:rPr>
              <w:t xml:space="preserve">Veebimonitooringusüsteem peab hõlmama vähemalt järgmisi infoühiskonna teenuseid: Facebook, </w:t>
            </w:r>
            <w:proofErr w:type="spellStart"/>
            <w:r w:rsidRPr="00415558">
              <w:rPr>
                <w:iCs/>
                <w:color w:val="auto"/>
              </w:rPr>
              <w:t>Instagram</w:t>
            </w:r>
            <w:proofErr w:type="spellEnd"/>
            <w:r w:rsidRPr="00415558">
              <w:rPr>
                <w:iCs/>
                <w:color w:val="auto"/>
              </w:rPr>
              <w:t xml:space="preserve">, </w:t>
            </w:r>
            <w:proofErr w:type="spellStart"/>
            <w:r w:rsidRPr="00415558">
              <w:rPr>
                <w:iCs/>
                <w:color w:val="auto"/>
              </w:rPr>
              <w:t>TikTok</w:t>
            </w:r>
            <w:proofErr w:type="spellEnd"/>
            <w:r w:rsidRPr="00415558">
              <w:rPr>
                <w:iCs/>
                <w:color w:val="auto"/>
              </w:rPr>
              <w:t xml:space="preserve">, </w:t>
            </w:r>
            <w:proofErr w:type="spellStart"/>
            <w:r w:rsidRPr="00415558">
              <w:rPr>
                <w:iCs/>
                <w:color w:val="auto"/>
              </w:rPr>
              <w:t>Youtube</w:t>
            </w:r>
            <w:proofErr w:type="spellEnd"/>
            <w:r w:rsidRPr="00415558">
              <w:rPr>
                <w:iCs/>
                <w:color w:val="auto"/>
              </w:rPr>
              <w:t xml:space="preserve">, X, </w:t>
            </w:r>
            <w:proofErr w:type="spellStart"/>
            <w:r w:rsidRPr="00415558">
              <w:rPr>
                <w:iCs/>
                <w:color w:val="auto"/>
              </w:rPr>
              <w:t>Telegram</w:t>
            </w:r>
            <w:proofErr w:type="spellEnd"/>
            <w:r w:rsidRPr="00415558">
              <w:rPr>
                <w:iCs/>
                <w:color w:val="auto"/>
              </w:rPr>
              <w:t xml:space="preserve">. Nende infoühiskonna teenuste puhul peab </w:t>
            </w:r>
            <w:r w:rsidR="003C02BF" w:rsidRPr="00415558">
              <w:rPr>
                <w:iCs/>
                <w:color w:val="auto"/>
              </w:rPr>
              <w:t xml:space="preserve">Veebimonitooringusüsteem võimaldama märksõnapõhise otsingu puhul kuvada vastetena tekstilist teavet, mis </w:t>
            </w:r>
            <w:r w:rsidR="00CB0AC9" w:rsidRPr="00415558">
              <w:rPr>
                <w:iCs/>
                <w:color w:val="auto"/>
              </w:rPr>
              <w:t xml:space="preserve">on </w:t>
            </w:r>
            <w:r w:rsidR="003C02BF" w:rsidRPr="00415558">
              <w:rPr>
                <w:iCs/>
                <w:color w:val="auto"/>
              </w:rPr>
              <w:t xml:space="preserve">kättesaadav </w:t>
            </w:r>
            <w:r w:rsidR="00CB0AC9" w:rsidRPr="00415558">
              <w:rPr>
                <w:iCs/>
                <w:color w:val="auto"/>
              </w:rPr>
              <w:t xml:space="preserve">vastava infoühiskonna teenuse </w:t>
            </w:r>
            <w:r w:rsidR="003C02BF" w:rsidRPr="00415558">
              <w:rPr>
                <w:iCs/>
                <w:color w:val="auto"/>
              </w:rPr>
              <w:t xml:space="preserve">avalikes gruppides, kogukondades, kanalitel või lehtedel. </w:t>
            </w:r>
          </w:p>
        </w:tc>
        <w:tc>
          <w:tcPr>
            <w:tcW w:w="7369" w:type="dxa"/>
          </w:tcPr>
          <w:p w14:paraId="0C4584ED" w14:textId="0AE14CFD" w:rsidR="00E8603E" w:rsidRPr="001F231E" w:rsidRDefault="0049631E" w:rsidP="00E8603E">
            <w:pPr>
              <w:spacing w:after="160" w:line="259" w:lineRule="auto"/>
              <w:ind w:left="0" w:right="0" w:firstLine="0"/>
              <w:jc w:val="left"/>
              <w:rPr>
                <w:iCs/>
                <w:lang w:val="en-GB"/>
              </w:rPr>
            </w:pPr>
            <w:r w:rsidRPr="0049631E">
              <w:rPr>
                <w:iCs/>
                <w:lang w:val="en-GB"/>
              </w:rPr>
              <w:t xml:space="preserve">The </w:t>
            </w:r>
            <w:r>
              <w:rPr>
                <w:iCs/>
                <w:lang w:val="en-GB"/>
              </w:rPr>
              <w:t>W</w:t>
            </w:r>
            <w:r w:rsidRPr="0049631E">
              <w:rPr>
                <w:iCs/>
                <w:lang w:val="en-GB"/>
              </w:rPr>
              <w:t xml:space="preserve">eb </w:t>
            </w:r>
            <w:r>
              <w:rPr>
                <w:iCs/>
                <w:lang w:val="en-GB"/>
              </w:rPr>
              <w:t>M</w:t>
            </w:r>
            <w:r w:rsidRPr="0049631E">
              <w:rPr>
                <w:iCs/>
                <w:lang w:val="en-GB"/>
              </w:rPr>
              <w:t xml:space="preserve">onitoring </w:t>
            </w:r>
            <w:r>
              <w:rPr>
                <w:iCs/>
                <w:lang w:val="en-GB"/>
              </w:rPr>
              <w:t>S</w:t>
            </w:r>
            <w:r w:rsidRPr="0049631E">
              <w:rPr>
                <w:iCs/>
                <w:lang w:val="en-GB"/>
              </w:rPr>
              <w:t>ystem must cover at least the following information society services: Facebook, Instagram, TikTok, YouTube, X, and Telegram. Regarding these services, the system must enable keyword-based searches to display, as results, textual information available in the public groups, communities, channels, or pages of the respective service</w:t>
            </w:r>
            <w:r>
              <w:rPr>
                <w:iCs/>
                <w:lang w:val="en-GB"/>
              </w:rPr>
              <w:t>.</w:t>
            </w:r>
          </w:p>
        </w:tc>
      </w:tr>
      <w:tr w:rsidR="00E8603E" w14:paraId="48293C7C" w14:textId="77777777" w:rsidTr="0005532C">
        <w:tc>
          <w:tcPr>
            <w:tcW w:w="7368" w:type="dxa"/>
          </w:tcPr>
          <w:p w14:paraId="1D5F4346" w14:textId="5661F958" w:rsidR="00E8603E" w:rsidRPr="0025364E" w:rsidRDefault="00E8603E" w:rsidP="001B18D5">
            <w:pPr>
              <w:spacing w:after="160" w:line="259" w:lineRule="auto"/>
              <w:ind w:left="0" w:right="0" w:firstLine="0"/>
              <w:jc w:val="left"/>
              <w:rPr>
                <w:iCs/>
              </w:rPr>
            </w:pPr>
            <w:r w:rsidRPr="00415558">
              <w:rPr>
                <w:iCs/>
                <w:color w:val="auto"/>
              </w:rPr>
              <w:t>Veebimonitooringusüsteem peab hõlmama vähemalt populaarsemaid USA, Venemaa, Suurbritannia ja Euroopa Liidu riikide online meedia väljaandeid</w:t>
            </w:r>
            <w:r w:rsidR="002D3514" w:rsidRPr="00415558">
              <w:rPr>
                <w:iCs/>
                <w:color w:val="auto"/>
              </w:rPr>
              <w:t xml:space="preserve">, näiteks </w:t>
            </w:r>
            <w:r w:rsidR="001B18D5" w:rsidRPr="00415558">
              <w:rPr>
                <w:iCs/>
                <w:color w:val="auto"/>
              </w:rPr>
              <w:t xml:space="preserve">cnn.com, bbc.com, rt.com, lenta.ru, tass.ru. </w:t>
            </w:r>
          </w:p>
        </w:tc>
        <w:tc>
          <w:tcPr>
            <w:tcW w:w="7369" w:type="dxa"/>
          </w:tcPr>
          <w:p w14:paraId="6AA49D08" w14:textId="211B3A43" w:rsidR="00E8603E" w:rsidRPr="001F231E" w:rsidRDefault="00516934" w:rsidP="00E8603E">
            <w:pPr>
              <w:spacing w:after="160" w:line="259" w:lineRule="auto"/>
              <w:ind w:left="0" w:right="0" w:firstLine="0"/>
              <w:jc w:val="left"/>
              <w:rPr>
                <w:iCs/>
                <w:lang w:val="en-GB"/>
              </w:rPr>
            </w:pPr>
            <w:r w:rsidRPr="00516934">
              <w:rPr>
                <w:iCs/>
                <w:lang w:val="en-GB"/>
              </w:rPr>
              <w:t xml:space="preserve">The </w:t>
            </w:r>
            <w:r>
              <w:rPr>
                <w:iCs/>
                <w:lang w:val="en-GB"/>
              </w:rPr>
              <w:t>W</w:t>
            </w:r>
            <w:r w:rsidRPr="00516934">
              <w:rPr>
                <w:iCs/>
                <w:lang w:val="en-GB"/>
              </w:rPr>
              <w:t xml:space="preserve">eb </w:t>
            </w:r>
            <w:r>
              <w:rPr>
                <w:iCs/>
                <w:lang w:val="en-GB"/>
              </w:rPr>
              <w:t>M</w:t>
            </w:r>
            <w:r w:rsidRPr="00516934">
              <w:rPr>
                <w:iCs/>
                <w:lang w:val="en-GB"/>
              </w:rPr>
              <w:t xml:space="preserve">onitoring </w:t>
            </w:r>
            <w:r>
              <w:rPr>
                <w:iCs/>
                <w:lang w:val="en-GB"/>
              </w:rPr>
              <w:t>S</w:t>
            </w:r>
            <w:r w:rsidRPr="00516934">
              <w:rPr>
                <w:iCs/>
                <w:lang w:val="en-GB"/>
              </w:rPr>
              <w:t>ystem must cover at least the most popular online media outlets in the USA, Russia, the UK, and European Union countries, such as cnn.com, bbc.com, rt.com, lenta.ru, and tass.ru.</w:t>
            </w:r>
          </w:p>
        </w:tc>
      </w:tr>
      <w:tr w:rsidR="003C02BF" w14:paraId="78B079F5" w14:textId="77777777" w:rsidTr="0097695B">
        <w:tc>
          <w:tcPr>
            <w:tcW w:w="7368" w:type="dxa"/>
          </w:tcPr>
          <w:p w14:paraId="47CDBD26" w14:textId="71FCDFC8" w:rsidR="003C02BF" w:rsidRPr="005F71B3" w:rsidRDefault="003C02BF" w:rsidP="005F71B3">
            <w:pPr>
              <w:spacing w:after="160" w:line="259" w:lineRule="auto"/>
              <w:ind w:left="0" w:right="0" w:firstLine="0"/>
              <w:jc w:val="left"/>
              <w:rPr>
                <w:iCs/>
                <w:highlight w:val="yellow"/>
              </w:rPr>
            </w:pPr>
            <w:r w:rsidRPr="00415558">
              <w:rPr>
                <w:iCs/>
                <w:color w:val="auto"/>
              </w:rPr>
              <w:t>Veebimonitooringusüsteem peab olema lihtsa ja selge kujundusega ning intuitiivse kasutajaloogikaga.</w:t>
            </w:r>
          </w:p>
        </w:tc>
        <w:tc>
          <w:tcPr>
            <w:tcW w:w="7369" w:type="dxa"/>
          </w:tcPr>
          <w:p w14:paraId="3ADE2EA6" w14:textId="45343E50" w:rsidR="003C02BF" w:rsidRDefault="003C02BF" w:rsidP="0047322A">
            <w:pPr>
              <w:spacing w:after="160" w:line="259" w:lineRule="auto"/>
              <w:ind w:left="0" w:right="0" w:firstLine="0"/>
              <w:jc w:val="left"/>
            </w:pPr>
            <w:r w:rsidRPr="006D1EFF">
              <w:rPr>
                <w:iCs/>
                <w:lang w:val="en-GB"/>
              </w:rPr>
              <w:t xml:space="preserve">The </w:t>
            </w:r>
            <w:r>
              <w:rPr>
                <w:iCs/>
                <w:lang w:val="en-GB"/>
              </w:rPr>
              <w:t>W</w:t>
            </w:r>
            <w:r w:rsidRPr="006D1EFF">
              <w:rPr>
                <w:iCs/>
                <w:lang w:val="en-GB"/>
              </w:rPr>
              <w:t xml:space="preserve">eb </w:t>
            </w:r>
            <w:r w:rsidR="0047322A">
              <w:rPr>
                <w:iCs/>
                <w:lang w:val="en-GB"/>
              </w:rPr>
              <w:t>M</w:t>
            </w:r>
            <w:r w:rsidRPr="006D1EFF">
              <w:rPr>
                <w:iCs/>
                <w:lang w:val="en-GB"/>
              </w:rPr>
              <w:t xml:space="preserve">onitoring </w:t>
            </w:r>
            <w:r w:rsidR="0047322A">
              <w:rPr>
                <w:iCs/>
                <w:lang w:val="en-GB"/>
              </w:rPr>
              <w:t>S</w:t>
            </w:r>
            <w:r w:rsidRPr="006D1EFF">
              <w:rPr>
                <w:iCs/>
                <w:lang w:val="en-GB"/>
              </w:rPr>
              <w:t xml:space="preserve">ystem must have a simple and clear design and intuitive </w:t>
            </w:r>
            <w:r>
              <w:rPr>
                <w:iCs/>
                <w:lang w:val="en-GB"/>
              </w:rPr>
              <w:t>user</w:t>
            </w:r>
            <w:r w:rsidRPr="006D1EFF">
              <w:rPr>
                <w:iCs/>
                <w:lang w:val="en-GB"/>
              </w:rPr>
              <w:t xml:space="preserve"> logic.</w:t>
            </w:r>
          </w:p>
        </w:tc>
      </w:tr>
      <w:tr w:rsidR="00335027" w14:paraId="16B05F97" w14:textId="77777777" w:rsidTr="0097695B">
        <w:tc>
          <w:tcPr>
            <w:tcW w:w="7368" w:type="dxa"/>
          </w:tcPr>
          <w:p w14:paraId="02BF46E6" w14:textId="09BE91A1" w:rsidR="00335027" w:rsidRDefault="009A5146" w:rsidP="00323FA5">
            <w:pPr>
              <w:spacing w:after="160" w:line="259" w:lineRule="auto"/>
              <w:ind w:left="0" w:right="0" w:firstLine="0"/>
              <w:jc w:val="left"/>
              <w:rPr>
                <w:iCs/>
              </w:rPr>
            </w:pPr>
            <w:r w:rsidRPr="00415558">
              <w:rPr>
                <w:iCs/>
                <w:color w:val="auto"/>
              </w:rPr>
              <w:lastRenderedPageBreak/>
              <w:t xml:space="preserve">Veebimonitooringusüsteemil peab olema töölaud, mis võimaldab saada </w:t>
            </w:r>
            <w:r w:rsidR="00872EC2" w:rsidRPr="00415558">
              <w:rPr>
                <w:iCs/>
                <w:color w:val="auto"/>
              </w:rPr>
              <w:t>visualiseeritud</w:t>
            </w:r>
            <w:r w:rsidRPr="00415558">
              <w:rPr>
                <w:iCs/>
                <w:color w:val="auto"/>
              </w:rPr>
              <w:t xml:space="preserve"> ülevaadet </w:t>
            </w:r>
            <w:r w:rsidR="00516934" w:rsidRPr="00415558">
              <w:rPr>
                <w:iCs/>
                <w:color w:val="auto"/>
              </w:rPr>
              <w:t xml:space="preserve">vähemalt </w:t>
            </w:r>
            <w:r w:rsidRPr="00415558">
              <w:rPr>
                <w:iCs/>
                <w:color w:val="auto"/>
              </w:rPr>
              <w:t>alalistest märksõnapõhistest otsingutest</w:t>
            </w:r>
            <w:r w:rsidR="00872EC2" w:rsidRPr="00415558">
              <w:rPr>
                <w:iCs/>
                <w:color w:val="auto"/>
              </w:rPr>
              <w:t xml:space="preserve"> </w:t>
            </w:r>
            <w:r w:rsidR="00516934" w:rsidRPr="00415558">
              <w:rPr>
                <w:iCs/>
                <w:color w:val="auto"/>
              </w:rPr>
              <w:t xml:space="preserve">ja nende tulemustest </w:t>
            </w:r>
            <w:r w:rsidR="00872EC2" w:rsidRPr="00415558">
              <w:rPr>
                <w:iCs/>
                <w:color w:val="auto"/>
              </w:rPr>
              <w:t xml:space="preserve">läbi kasutusperioodi. </w:t>
            </w:r>
          </w:p>
        </w:tc>
        <w:tc>
          <w:tcPr>
            <w:tcW w:w="7369" w:type="dxa"/>
          </w:tcPr>
          <w:p w14:paraId="7F0FA816" w14:textId="175B861F" w:rsidR="00335027" w:rsidRPr="006D1EFF" w:rsidRDefault="00490D69" w:rsidP="0047322A">
            <w:pPr>
              <w:spacing w:after="160" w:line="259" w:lineRule="auto"/>
              <w:ind w:right="0"/>
              <w:jc w:val="left"/>
              <w:rPr>
                <w:iCs/>
                <w:lang w:val="en-GB"/>
              </w:rPr>
            </w:pPr>
            <w:r w:rsidRPr="00490D69">
              <w:rPr>
                <w:iCs/>
                <w:lang w:val="en-GB"/>
              </w:rPr>
              <w:t xml:space="preserve">The </w:t>
            </w:r>
            <w:r w:rsidR="0047322A">
              <w:rPr>
                <w:iCs/>
                <w:lang w:val="en-GB"/>
              </w:rPr>
              <w:t>W</w:t>
            </w:r>
            <w:r w:rsidRPr="00490D69">
              <w:rPr>
                <w:iCs/>
                <w:lang w:val="en-GB"/>
              </w:rPr>
              <w:t xml:space="preserve">eb </w:t>
            </w:r>
            <w:r w:rsidR="0047322A">
              <w:rPr>
                <w:iCs/>
                <w:lang w:val="en-GB"/>
              </w:rPr>
              <w:t>M</w:t>
            </w:r>
            <w:r w:rsidRPr="00490D69">
              <w:rPr>
                <w:iCs/>
                <w:lang w:val="en-GB"/>
              </w:rPr>
              <w:t xml:space="preserve">onitoring </w:t>
            </w:r>
            <w:r w:rsidR="0047322A">
              <w:rPr>
                <w:iCs/>
                <w:lang w:val="en-GB"/>
              </w:rPr>
              <w:t>S</w:t>
            </w:r>
            <w:r w:rsidRPr="00490D69">
              <w:rPr>
                <w:iCs/>
                <w:lang w:val="en-GB"/>
              </w:rPr>
              <w:t>ystem must have a dashboard that enables a visualized overview of at least the permanent keyword-based searches and their results throughout the usage period.</w:t>
            </w:r>
          </w:p>
        </w:tc>
      </w:tr>
      <w:tr w:rsidR="003C02BF" w14:paraId="7EE946E4" w14:textId="77777777" w:rsidTr="00E54ACB">
        <w:tc>
          <w:tcPr>
            <w:tcW w:w="7368" w:type="dxa"/>
          </w:tcPr>
          <w:p w14:paraId="18C9D671" w14:textId="2B431CD1" w:rsidR="003C02BF" w:rsidRPr="005F71B3" w:rsidRDefault="003C02BF" w:rsidP="005F71B3">
            <w:pPr>
              <w:spacing w:after="160" w:line="259" w:lineRule="auto"/>
              <w:ind w:left="0" w:right="0" w:firstLine="0"/>
              <w:jc w:val="left"/>
              <w:rPr>
                <w:iCs/>
                <w:highlight w:val="yellow"/>
              </w:rPr>
            </w:pPr>
            <w:r>
              <w:rPr>
                <w:iCs/>
              </w:rPr>
              <w:t>Veebim</w:t>
            </w:r>
            <w:r w:rsidRPr="006D1EFF">
              <w:rPr>
                <w:iCs/>
              </w:rPr>
              <w:t>onitooringusüsteem</w:t>
            </w:r>
            <w:r w:rsidRPr="001649E9">
              <w:rPr>
                <w:iCs/>
              </w:rPr>
              <w:t xml:space="preserve"> pea</w:t>
            </w:r>
            <w:r>
              <w:rPr>
                <w:iCs/>
              </w:rPr>
              <w:t>b</w:t>
            </w:r>
            <w:r w:rsidRPr="001649E9">
              <w:rPr>
                <w:iCs/>
              </w:rPr>
              <w:t xml:space="preserve"> võimaldama:</w:t>
            </w:r>
          </w:p>
        </w:tc>
        <w:tc>
          <w:tcPr>
            <w:tcW w:w="7369" w:type="dxa"/>
          </w:tcPr>
          <w:p w14:paraId="123463E7" w14:textId="191B56FD" w:rsidR="003C02BF" w:rsidRDefault="003C02BF" w:rsidP="0047322A">
            <w:pPr>
              <w:spacing w:after="160" w:line="259" w:lineRule="auto"/>
              <w:ind w:left="0" w:right="0" w:firstLine="0"/>
              <w:jc w:val="left"/>
            </w:pPr>
            <w:r w:rsidRPr="0005532C">
              <w:rPr>
                <w:iCs/>
                <w:lang w:val="en-GB"/>
              </w:rPr>
              <w:t xml:space="preserve">The </w:t>
            </w:r>
            <w:r w:rsidR="00516934">
              <w:rPr>
                <w:iCs/>
                <w:lang w:val="en-GB"/>
              </w:rPr>
              <w:t xml:space="preserve">Web Monitoring System </w:t>
            </w:r>
            <w:r w:rsidR="00490D69" w:rsidRPr="00490D69">
              <w:rPr>
                <w:iCs/>
                <w:lang w:val="en-GB"/>
              </w:rPr>
              <w:t>must enable</w:t>
            </w:r>
            <w:r w:rsidRPr="0005532C">
              <w:rPr>
                <w:iCs/>
                <w:lang w:val="en-GB"/>
              </w:rPr>
              <w:t>:</w:t>
            </w:r>
          </w:p>
        </w:tc>
      </w:tr>
      <w:tr w:rsidR="003C02BF" w14:paraId="411E0A73" w14:textId="77777777" w:rsidTr="001D118B">
        <w:tc>
          <w:tcPr>
            <w:tcW w:w="7368" w:type="dxa"/>
          </w:tcPr>
          <w:p w14:paraId="4D506EBE" w14:textId="60984794" w:rsidR="003C02BF" w:rsidRPr="00415558" w:rsidRDefault="003C02BF" w:rsidP="003C02BF">
            <w:pPr>
              <w:spacing w:after="160" w:line="259" w:lineRule="auto"/>
              <w:ind w:left="317" w:right="0" w:firstLine="0"/>
              <w:jc w:val="left"/>
              <w:rPr>
                <w:iCs/>
                <w:color w:val="auto"/>
              </w:rPr>
            </w:pPr>
            <w:r w:rsidRPr="00415558">
              <w:rPr>
                <w:iCs/>
                <w:color w:val="auto"/>
              </w:rPr>
              <w:t>otsingut erineva kirjapildiga märksõna alusel vähemalt ladina ja vene tähestikus;</w:t>
            </w:r>
          </w:p>
        </w:tc>
        <w:tc>
          <w:tcPr>
            <w:tcW w:w="7369" w:type="dxa"/>
          </w:tcPr>
          <w:p w14:paraId="21B53E26" w14:textId="4CFEF200" w:rsidR="003C02BF" w:rsidRPr="00E82073" w:rsidRDefault="003C02BF" w:rsidP="003C02BF">
            <w:pPr>
              <w:spacing w:after="160" w:line="259" w:lineRule="auto"/>
              <w:ind w:left="313" w:right="0" w:firstLine="0"/>
              <w:jc w:val="left"/>
              <w:rPr>
                <w:iCs/>
                <w:lang w:val="en-GB"/>
              </w:rPr>
            </w:pPr>
            <w:r w:rsidRPr="00E82073">
              <w:rPr>
                <w:iCs/>
                <w:lang w:val="en-GB"/>
              </w:rPr>
              <w:t xml:space="preserve">search by </w:t>
            </w:r>
            <w:r>
              <w:rPr>
                <w:iCs/>
                <w:lang w:val="en-GB"/>
              </w:rPr>
              <w:t>keyword</w:t>
            </w:r>
            <w:r w:rsidRPr="00E82073">
              <w:rPr>
                <w:iCs/>
                <w:lang w:val="en-GB"/>
              </w:rPr>
              <w:t xml:space="preserve"> with different spellings, at least in Latin</w:t>
            </w:r>
            <w:r>
              <w:rPr>
                <w:iCs/>
                <w:lang w:val="en-GB"/>
              </w:rPr>
              <w:t xml:space="preserve"> and</w:t>
            </w:r>
            <w:r w:rsidRPr="00E82073">
              <w:rPr>
                <w:iCs/>
                <w:lang w:val="en-GB"/>
              </w:rPr>
              <w:t xml:space="preserve"> Russian alphabets;</w:t>
            </w:r>
          </w:p>
        </w:tc>
      </w:tr>
      <w:tr w:rsidR="003C02BF" w14:paraId="3FF40284" w14:textId="77777777" w:rsidTr="001D118B">
        <w:tc>
          <w:tcPr>
            <w:tcW w:w="7368" w:type="dxa"/>
          </w:tcPr>
          <w:p w14:paraId="42B2A8BF" w14:textId="6B96BFCA" w:rsidR="003C02BF" w:rsidRPr="00415558" w:rsidRDefault="003C02BF" w:rsidP="003C02BF">
            <w:pPr>
              <w:spacing w:after="160" w:line="259" w:lineRule="auto"/>
              <w:ind w:left="317" w:right="0" w:firstLine="0"/>
              <w:jc w:val="left"/>
              <w:rPr>
                <w:iCs/>
                <w:color w:val="auto"/>
              </w:rPr>
            </w:pPr>
            <w:r w:rsidRPr="00415558">
              <w:rPr>
                <w:iCs/>
                <w:color w:val="auto"/>
              </w:rPr>
              <w:t>otsingut andmete või parameetrite valimise või välistamisega, näiteks otsida märksõnale vasteid vaid ühest infoühiskonna teenusest või välistades mitmeid infoühiskonna teenuseid, mille tulemusel kajastuvad või välistamise korral ei kajastu otsingutulemustes välistatud infoühiskonna teenused;</w:t>
            </w:r>
          </w:p>
        </w:tc>
        <w:tc>
          <w:tcPr>
            <w:tcW w:w="7369" w:type="dxa"/>
          </w:tcPr>
          <w:p w14:paraId="5B009229" w14:textId="55AA535F" w:rsidR="003C02BF" w:rsidRPr="00E82073" w:rsidRDefault="00490D69" w:rsidP="003C02BF">
            <w:pPr>
              <w:spacing w:after="160" w:line="259" w:lineRule="auto"/>
              <w:ind w:left="313" w:right="0" w:firstLine="0"/>
              <w:jc w:val="left"/>
              <w:rPr>
                <w:iCs/>
                <w:lang w:val="en-GB"/>
              </w:rPr>
            </w:pPr>
            <w:r w:rsidRPr="00490D69">
              <w:rPr>
                <w:iCs/>
                <w:lang w:val="en-GB"/>
              </w:rPr>
              <w:t xml:space="preserve">search functionality with the selection or exclusion of data or parameters, for example, searching for keyword matches from only one information society service or excluding several information society services, whereby the search results reflect the selected services or, in the case of exclusion, do not reflect the excluded information society </w:t>
            </w:r>
            <w:proofErr w:type="gramStart"/>
            <w:r w:rsidRPr="00490D69">
              <w:rPr>
                <w:iCs/>
                <w:lang w:val="en-GB"/>
              </w:rPr>
              <w:t>services;</w:t>
            </w:r>
            <w:proofErr w:type="gramEnd"/>
          </w:p>
        </w:tc>
      </w:tr>
      <w:tr w:rsidR="003C02BF" w14:paraId="27C5E70A" w14:textId="77777777" w:rsidTr="001D118B">
        <w:tc>
          <w:tcPr>
            <w:tcW w:w="7368" w:type="dxa"/>
          </w:tcPr>
          <w:p w14:paraId="55AFFA8A" w14:textId="2692AC70" w:rsidR="003C02BF" w:rsidRPr="00415558" w:rsidRDefault="003C02BF" w:rsidP="003C02BF">
            <w:pPr>
              <w:spacing w:after="160" w:line="259" w:lineRule="auto"/>
              <w:ind w:left="317" w:right="0" w:firstLine="0"/>
              <w:jc w:val="left"/>
              <w:rPr>
                <w:iCs/>
                <w:color w:val="auto"/>
              </w:rPr>
            </w:pPr>
            <w:r w:rsidRPr="00415558">
              <w:rPr>
                <w:iCs/>
                <w:color w:val="auto"/>
              </w:rPr>
              <w:t>otsingu filtreerimist vähemalt keele, geograafilise piirkonna, infoühiskonnateenuse tüübi (näiteks sotsiaalmeedia, online meedia) ja konkreetse infoühiskonna</w:t>
            </w:r>
            <w:r w:rsidR="009A5146" w:rsidRPr="00415558">
              <w:rPr>
                <w:iCs/>
                <w:color w:val="auto"/>
              </w:rPr>
              <w:t xml:space="preserve"> </w:t>
            </w:r>
            <w:r w:rsidRPr="00415558">
              <w:rPr>
                <w:iCs/>
                <w:color w:val="auto"/>
              </w:rPr>
              <w:t>teenuse järgi</w:t>
            </w:r>
            <w:r w:rsidR="00323FA5" w:rsidRPr="00415558">
              <w:rPr>
                <w:iCs/>
                <w:color w:val="auto"/>
              </w:rPr>
              <w:t>;</w:t>
            </w:r>
          </w:p>
        </w:tc>
        <w:tc>
          <w:tcPr>
            <w:tcW w:w="7369" w:type="dxa"/>
          </w:tcPr>
          <w:p w14:paraId="5B2B50C1" w14:textId="415121AB" w:rsidR="003C02BF" w:rsidRPr="00E82073" w:rsidRDefault="00490D69" w:rsidP="003C02BF">
            <w:pPr>
              <w:spacing w:after="160" w:line="259" w:lineRule="auto"/>
              <w:ind w:left="313" w:right="0" w:firstLine="0"/>
              <w:jc w:val="left"/>
              <w:rPr>
                <w:iCs/>
                <w:lang w:val="en-GB"/>
              </w:rPr>
            </w:pPr>
            <w:r w:rsidRPr="00490D69">
              <w:rPr>
                <w:iCs/>
                <w:lang w:val="en-GB"/>
              </w:rPr>
              <w:t>search filtering by at least language, geographical region, type of information society service (e.g., social media, online media), and specific information society service;</w:t>
            </w:r>
          </w:p>
        </w:tc>
      </w:tr>
      <w:tr w:rsidR="003C02BF" w14:paraId="2FA31860" w14:textId="77777777" w:rsidTr="001D118B">
        <w:tc>
          <w:tcPr>
            <w:tcW w:w="7368" w:type="dxa"/>
          </w:tcPr>
          <w:p w14:paraId="0A48EBCE" w14:textId="05D9EB23" w:rsidR="003C02BF" w:rsidRPr="00415558" w:rsidRDefault="003C02BF" w:rsidP="003C02BF">
            <w:pPr>
              <w:spacing w:after="160" w:line="259" w:lineRule="auto"/>
              <w:ind w:left="317" w:right="0" w:firstLine="0"/>
              <w:jc w:val="left"/>
              <w:rPr>
                <w:iCs/>
                <w:color w:val="auto"/>
              </w:rPr>
            </w:pPr>
            <w:r w:rsidRPr="00415558">
              <w:rPr>
                <w:iCs/>
                <w:color w:val="auto"/>
              </w:rPr>
              <w:t>kasutajatele otsingu tulemusel leitud teavet kopeerida või alla laadida, teha väljavõtteid ja koostada kasutaja poolt määratletud andmetega raporteid ning neid alla laadida MS Word</w:t>
            </w:r>
            <w:r w:rsidR="00CB0AC9" w:rsidRPr="00415558">
              <w:rPr>
                <w:iCs/>
                <w:color w:val="auto"/>
              </w:rPr>
              <w:t xml:space="preserve">i, </w:t>
            </w:r>
            <w:r w:rsidRPr="00415558">
              <w:rPr>
                <w:iCs/>
                <w:color w:val="auto"/>
              </w:rPr>
              <w:t xml:space="preserve">MS Exceli poolt toetatud formaadis </w:t>
            </w:r>
            <w:r w:rsidR="00CB0AC9" w:rsidRPr="00415558">
              <w:rPr>
                <w:iCs/>
                <w:color w:val="auto"/>
              </w:rPr>
              <w:t>või</w:t>
            </w:r>
            <w:r w:rsidRPr="00415558">
              <w:rPr>
                <w:iCs/>
                <w:color w:val="auto"/>
              </w:rPr>
              <w:t xml:space="preserve"> PDF-formaadis</w:t>
            </w:r>
            <w:r w:rsidR="009A5146" w:rsidRPr="00415558">
              <w:rPr>
                <w:iCs/>
                <w:color w:val="auto"/>
              </w:rPr>
              <w:t>;</w:t>
            </w:r>
          </w:p>
        </w:tc>
        <w:tc>
          <w:tcPr>
            <w:tcW w:w="7369" w:type="dxa"/>
          </w:tcPr>
          <w:p w14:paraId="2A8AF343" w14:textId="5B3D12A8" w:rsidR="003C02BF" w:rsidRPr="00E82073" w:rsidRDefault="005F71B3" w:rsidP="003C02BF">
            <w:pPr>
              <w:spacing w:after="160" w:line="259" w:lineRule="auto"/>
              <w:ind w:left="313" w:right="0" w:firstLine="0"/>
              <w:jc w:val="left"/>
              <w:rPr>
                <w:iCs/>
                <w:lang w:val="en-GB"/>
              </w:rPr>
            </w:pPr>
            <w:r w:rsidRPr="005F71B3">
              <w:rPr>
                <w:iCs/>
                <w:lang w:val="en-GB"/>
              </w:rPr>
              <w:t>users to copy or download information retrieved via search results, create extracts, and compile reports with user-defined data, and download them in formats supported by MS Word and MS Excel, or in PDF format;</w:t>
            </w:r>
          </w:p>
        </w:tc>
      </w:tr>
      <w:tr w:rsidR="003C02BF" w14:paraId="4130609B" w14:textId="77777777" w:rsidTr="001D118B">
        <w:tc>
          <w:tcPr>
            <w:tcW w:w="7368" w:type="dxa"/>
          </w:tcPr>
          <w:p w14:paraId="1EEAD5D9" w14:textId="63A55E66" w:rsidR="003C02BF" w:rsidRPr="00415558" w:rsidRDefault="009A5146" w:rsidP="003C02BF">
            <w:pPr>
              <w:spacing w:after="160" w:line="259" w:lineRule="auto"/>
              <w:ind w:left="317" w:right="0" w:firstLine="0"/>
              <w:jc w:val="left"/>
              <w:rPr>
                <w:iCs/>
                <w:color w:val="auto"/>
              </w:rPr>
            </w:pPr>
            <w:r w:rsidRPr="00415558">
              <w:rPr>
                <w:iCs/>
                <w:color w:val="auto"/>
              </w:rPr>
              <w:t xml:space="preserve">liikuda otsingutulemuselt otse algallikale näiteks </w:t>
            </w:r>
            <w:proofErr w:type="spellStart"/>
            <w:r w:rsidRPr="00415558">
              <w:rPr>
                <w:iCs/>
                <w:color w:val="auto"/>
              </w:rPr>
              <w:t>hüperlingi</w:t>
            </w:r>
            <w:proofErr w:type="spellEnd"/>
            <w:r w:rsidRPr="00415558">
              <w:rPr>
                <w:iCs/>
                <w:color w:val="auto"/>
              </w:rPr>
              <w:t xml:space="preserve"> abil. </w:t>
            </w:r>
          </w:p>
        </w:tc>
        <w:tc>
          <w:tcPr>
            <w:tcW w:w="7369" w:type="dxa"/>
          </w:tcPr>
          <w:p w14:paraId="321A9770" w14:textId="45595100" w:rsidR="003C02BF" w:rsidRPr="00E82073" w:rsidRDefault="005F71B3" w:rsidP="003C02BF">
            <w:pPr>
              <w:spacing w:after="160" w:line="259" w:lineRule="auto"/>
              <w:ind w:left="313" w:right="0" w:firstLine="0"/>
              <w:jc w:val="left"/>
              <w:rPr>
                <w:iCs/>
                <w:lang w:val="en-GB"/>
              </w:rPr>
            </w:pPr>
            <w:r w:rsidRPr="005F71B3">
              <w:rPr>
                <w:iCs/>
                <w:lang w:val="en-GB"/>
              </w:rPr>
              <w:t>navigating directly from the search result to the original source, for example, via a hyperlink.</w:t>
            </w:r>
          </w:p>
        </w:tc>
      </w:tr>
    </w:tbl>
    <w:p w14:paraId="49412A20" w14:textId="71BCFAB9" w:rsidR="007727AF" w:rsidRDefault="007727AF" w:rsidP="005F71B3">
      <w:pPr>
        <w:spacing w:after="160" w:line="259" w:lineRule="auto"/>
        <w:ind w:left="0" w:right="0" w:firstLine="0"/>
        <w:jc w:val="left"/>
      </w:pPr>
    </w:p>
    <w:sectPr w:rsidR="007727AF" w:rsidSect="00C548AE">
      <w:type w:val="continuous"/>
      <w:pgSz w:w="16838" w:h="11906" w:orient="landscape" w:code="9"/>
      <w:pgMar w:top="1418" w:right="760" w:bottom="1412"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D185" w14:textId="77777777" w:rsidR="00844FFF" w:rsidRDefault="00844FFF" w:rsidP="00844FFF">
      <w:pPr>
        <w:spacing w:after="0" w:line="240" w:lineRule="auto"/>
      </w:pPr>
      <w:r>
        <w:separator/>
      </w:r>
    </w:p>
  </w:endnote>
  <w:endnote w:type="continuationSeparator" w:id="0">
    <w:p w14:paraId="2381DD81" w14:textId="77777777" w:rsidR="00844FFF" w:rsidRDefault="00844FFF" w:rsidP="0084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5CA0" w14:textId="77777777" w:rsidR="001F1F65" w:rsidRDefault="001F1F65" w:rsidP="001F1F65">
    <w:pPr>
      <w:pStyle w:val="Pis"/>
      <w:jc w:val="center"/>
      <w:rPr>
        <w:b/>
        <w:bCs/>
        <w:sz w:val="20"/>
        <w:szCs w:val="20"/>
      </w:rPr>
    </w:pPr>
  </w:p>
  <w:sdt>
    <w:sdtPr>
      <w:id w:val="-1678656496"/>
      <w:docPartObj>
        <w:docPartGallery w:val="Page Numbers (Bottom of Page)"/>
        <w:docPartUnique/>
      </w:docPartObj>
    </w:sdtPr>
    <w:sdtEndPr/>
    <w:sdtContent>
      <w:p w14:paraId="7D3D2A77" w14:textId="31771D39" w:rsidR="00685092" w:rsidRDefault="00685092">
        <w:pPr>
          <w:pStyle w:val="Jalus"/>
          <w:jc w:val="right"/>
        </w:pPr>
        <w:r>
          <w:fldChar w:fldCharType="begin"/>
        </w:r>
        <w:r>
          <w:instrText>PAGE   \* MERGEFORMAT</w:instrText>
        </w:r>
        <w:r>
          <w:fldChar w:fldCharType="separate"/>
        </w:r>
        <w:r>
          <w:t>2</w:t>
        </w:r>
        <w:r>
          <w:fldChar w:fldCharType="end"/>
        </w:r>
      </w:p>
    </w:sdtContent>
  </w:sdt>
  <w:p w14:paraId="61317159" w14:textId="77777777" w:rsidR="00685092" w:rsidRDefault="0068509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F28A" w14:textId="77777777" w:rsidR="00844FFF" w:rsidRDefault="00844FFF" w:rsidP="00844FFF">
      <w:pPr>
        <w:spacing w:after="0" w:line="240" w:lineRule="auto"/>
      </w:pPr>
      <w:r>
        <w:separator/>
      </w:r>
    </w:p>
  </w:footnote>
  <w:footnote w:type="continuationSeparator" w:id="0">
    <w:p w14:paraId="284AA930" w14:textId="77777777" w:rsidR="00844FFF" w:rsidRDefault="00844FFF" w:rsidP="0084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373" w14:textId="77777777" w:rsidR="001F1F65" w:rsidRDefault="001F1F65" w:rsidP="00C40284">
    <w:pPr>
      <w:pStyle w:val="Pi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C6"/>
    <w:multiLevelType w:val="hybridMultilevel"/>
    <w:tmpl w:val="391096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090B29"/>
    <w:multiLevelType w:val="hybridMultilevel"/>
    <w:tmpl w:val="5044AB8C"/>
    <w:lvl w:ilvl="0" w:tplc="4A8A1956">
      <w:numFmt w:val="bullet"/>
      <w:lvlText w:val="•"/>
      <w:lvlJc w:val="left"/>
      <w:pPr>
        <w:ind w:left="861" w:hanging="435"/>
      </w:pPr>
      <w:rPr>
        <w:rFonts w:ascii="Times New Roman" w:eastAsia="Times New Roman" w:hAnsi="Times New Roman" w:cs="Times New Roman"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2" w15:restartNumberingAfterBreak="0">
    <w:nsid w:val="20687A7C"/>
    <w:multiLevelType w:val="hybridMultilevel"/>
    <w:tmpl w:val="959AA8B4"/>
    <w:lvl w:ilvl="0" w:tplc="04250001">
      <w:start w:val="1"/>
      <w:numFmt w:val="bullet"/>
      <w:lvlText w:val=""/>
      <w:lvlJc w:val="left"/>
      <w:pPr>
        <w:ind w:left="1996" w:hanging="360"/>
      </w:pPr>
      <w:rPr>
        <w:rFonts w:ascii="Symbol" w:hAnsi="Symbol" w:hint="default"/>
      </w:rPr>
    </w:lvl>
    <w:lvl w:ilvl="1" w:tplc="04250003" w:tentative="1">
      <w:start w:val="1"/>
      <w:numFmt w:val="bullet"/>
      <w:lvlText w:val="o"/>
      <w:lvlJc w:val="left"/>
      <w:pPr>
        <w:ind w:left="2716" w:hanging="360"/>
      </w:pPr>
      <w:rPr>
        <w:rFonts w:ascii="Courier New" w:hAnsi="Courier New" w:cs="Courier New" w:hint="default"/>
      </w:rPr>
    </w:lvl>
    <w:lvl w:ilvl="2" w:tplc="04250005" w:tentative="1">
      <w:start w:val="1"/>
      <w:numFmt w:val="bullet"/>
      <w:lvlText w:val=""/>
      <w:lvlJc w:val="left"/>
      <w:pPr>
        <w:ind w:left="3436" w:hanging="360"/>
      </w:pPr>
      <w:rPr>
        <w:rFonts w:ascii="Wingdings" w:hAnsi="Wingdings" w:hint="default"/>
      </w:rPr>
    </w:lvl>
    <w:lvl w:ilvl="3" w:tplc="04250001" w:tentative="1">
      <w:start w:val="1"/>
      <w:numFmt w:val="bullet"/>
      <w:lvlText w:val=""/>
      <w:lvlJc w:val="left"/>
      <w:pPr>
        <w:ind w:left="4156" w:hanging="360"/>
      </w:pPr>
      <w:rPr>
        <w:rFonts w:ascii="Symbol" w:hAnsi="Symbol" w:hint="default"/>
      </w:rPr>
    </w:lvl>
    <w:lvl w:ilvl="4" w:tplc="04250003" w:tentative="1">
      <w:start w:val="1"/>
      <w:numFmt w:val="bullet"/>
      <w:lvlText w:val="o"/>
      <w:lvlJc w:val="left"/>
      <w:pPr>
        <w:ind w:left="4876" w:hanging="360"/>
      </w:pPr>
      <w:rPr>
        <w:rFonts w:ascii="Courier New" w:hAnsi="Courier New" w:cs="Courier New" w:hint="default"/>
      </w:rPr>
    </w:lvl>
    <w:lvl w:ilvl="5" w:tplc="04250005" w:tentative="1">
      <w:start w:val="1"/>
      <w:numFmt w:val="bullet"/>
      <w:lvlText w:val=""/>
      <w:lvlJc w:val="left"/>
      <w:pPr>
        <w:ind w:left="5596" w:hanging="360"/>
      </w:pPr>
      <w:rPr>
        <w:rFonts w:ascii="Wingdings" w:hAnsi="Wingdings" w:hint="default"/>
      </w:rPr>
    </w:lvl>
    <w:lvl w:ilvl="6" w:tplc="04250001" w:tentative="1">
      <w:start w:val="1"/>
      <w:numFmt w:val="bullet"/>
      <w:lvlText w:val=""/>
      <w:lvlJc w:val="left"/>
      <w:pPr>
        <w:ind w:left="6316" w:hanging="360"/>
      </w:pPr>
      <w:rPr>
        <w:rFonts w:ascii="Symbol" w:hAnsi="Symbol" w:hint="default"/>
      </w:rPr>
    </w:lvl>
    <w:lvl w:ilvl="7" w:tplc="04250003" w:tentative="1">
      <w:start w:val="1"/>
      <w:numFmt w:val="bullet"/>
      <w:lvlText w:val="o"/>
      <w:lvlJc w:val="left"/>
      <w:pPr>
        <w:ind w:left="7036" w:hanging="360"/>
      </w:pPr>
      <w:rPr>
        <w:rFonts w:ascii="Courier New" w:hAnsi="Courier New" w:cs="Courier New" w:hint="default"/>
      </w:rPr>
    </w:lvl>
    <w:lvl w:ilvl="8" w:tplc="04250005" w:tentative="1">
      <w:start w:val="1"/>
      <w:numFmt w:val="bullet"/>
      <w:lvlText w:val=""/>
      <w:lvlJc w:val="left"/>
      <w:pPr>
        <w:ind w:left="7756" w:hanging="360"/>
      </w:pPr>
      <w:rPr>
        <w:rFonts w:ascii="Wingdings" w:hAnsi="Wingdings" w:hint="default"/>
      </w:rPr>
    </w:lvl>
  </w:abstractNum>
  <w:abstractNum w:abstractNumId="3" w15:restartNumberingAfterBreak="0">
    <w:nsid w:val="26B64E00"/>
    <w:multiLevelType w:val="hybridMultilevel"/>
    <w:tmpl w:val="2B329198"/>
    <w:lvl w:ilvl="0" w:tplc="4A8A1956">
      <w:numFmt w:val="bullet"/>
      <w:lvlText w:val="•"/>
      <w:lvlJc w:val="left"/>
      <w:pPr>
        <w:ind w:left="1287" w:hanging="435"/>
      </w:pPr>
      <w:rPr>
        <w:rFonts w:ascii="Times New Roman" w:eastAsia="Times New Roman" w:hAnsi="Times New Roman" w:cs="Times New Roman"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4" w15:restartNumberingAfterBreak="0">
    <w:nsid w:val="2A9D72F1"/>
    <w:multiLevelType w:val="hybridMultilevel"/>
    <w:tmpl w:val="9350E872"/>
    <w:lvl w:ilvl="0" w:tplc="04250001">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5" w15:restartNumberingAfterBreak="0">
    <w:nsid w:val="30444ABD"/>
    <w:multiLevelType w:val="hybridMultilevel"/>
    <w:tmpl w:val="2584B446"/>
    <w:lvl w:ilvl="0" w:tplc="3796EB7A">
      <w:start w:val="1"/>
      <w:numFmt w:val="lowerLetter"/>
      <w:lvlText w:val="%1)"/>
      <w:lvlJc w:val="left"/>
      <w:pPr>
        <w:ind w:left="1636" w:hanging="360"/>
      </w:pPr>
      <w:rPr>
        <w:rFonts w:hint="default"/>
      </w:rPr>
    </w:lvl>
    <w:lvl w:ilvl="1" w:tplc="04250019" w:tentative="1">
      <w:start w:val="1"/>
      <w:numFmt w:val="lowerLetter"/>
      <w:lvlText w:val="%2."/>
      <w:lvlJc w:val="left"/>
      <w:pPr>
        <w:ind w:left="2356" w:hanging="360"/>
      </w:pPr>
    </w:lvl>
    <w:lvl w:ilvl="2" w:tplc="0425001B" w:tentative="1">
      <w:start w:val="1"/>
      <w:numFmt w:val="lowerRoman"/>
      <w:lvlText w:val="%3."/>
      <w:lvlJc w:val="right"/>
      <w:pPr>
        <w:ind w:left="3076" w:hanging="180"/>
      </w:pPr>
    </w:lvl>
    <w:lvl w:ilvl="3" w:tplc="0425000F" w:tentative="1">
      <w:start w:val="1"/>
      <w:numFmt w:val="decimal"/>
      <w:lvlText w:val="%4."/>
      <w:lvlJc w:val="left"/>
      <w:pPr>
        <w:ind w:left="3796" w:hanging="360"/>
      </w:pPr>
    </w:lvl>
    <w:lvl w:ilvl="4" w:tplc="04250019" w:tentative="1">
      <w:start w:val="1"/>
      <w:numFmt w:val="lowerLetter"/>
      <w:lvlText w:val="%5."/>
      <w:lvlJc w:val="left"/>
      <w:pPr>
        <w:ind w:left="4516" w:hanging="360"/>
      </w:pPr>
    </w:lvl>
    <w:lvl w:ilvl="5" w:tplc="0425001B" w:tentative="1">
      <w:start w:val="1"/>
      <w:numFmt w:val="lowerRoman"/>
      <w:lvlText w:val="%6."/>
      <w:lvlJc w:val="right"/>
      <w:pPr>
        <w:ind w:left="5236" w:hanging="180"/>
      </w:pPr>
    </w:lvl>
    <w:lvl w:ilvl="6" w:tplc="0425000F" w:tentative="1">
      <w:start w:val="1"/>
      <w:numFmt w:val="decimal"/>
      <w:lvlText w:val="%7."/>
      <w:lvlJc w:val="left"/>
      <w:pPr>
        <w:ind w:left="5956" w:hanging="360"/>
      </w:pPr>
    </w:lvl>
    <w:lvl w:ilvl="7" w:tplc="04250019" w:tentative="1">
      <w:start w:val="1"/>
      <w:numFmt w:val="lowerLetter"/>
      <w:lvlText w:val="%8."/>
      <w:lvlJc w:val="left"/>
      <w:pPr>
        <w:ind w:left="6676" w:hanging="360"/>
      </w:pPr>
    </w:lvl>
    <w:lvl w:ilvl="8" w:tplc="0425001B" w:tentative="1">
      <w:start w:val="1"/>
      <w:numFmt w:val="lowerRoman"/>
      <w:lvlText w:val="%9."/>
      <w:lvlJc w:val="right"/>
      <w:pPr>
        <w:ind w:left="7396" w:hanging="180"/>
      </w:pPr>
    </w:lvl>
  </w:abstractNum>
  <w:abstractNum w:abstractNumId="6" w15:restartNumberingAfterBreak="0">
    <w:nsid w:val="32ED61C2"/>
    <w:multiLevelType w:val="hybridMultilevel"/>
    <w:tmpl w:val="5988383E"/>
    <w:lvl w:ilvl="0" w:tplc="FBA48A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EC7B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DCBD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B2D0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C78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024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1E78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4EC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A1B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C200D1"/>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1754FC"/>
    <w:multiLevelType w:val="multilevel"/>
    <w:tmpl w:val="27509D36"/>
    <w:lvl w:ilvl="0">
      <w:start w:val="1"/>
      <w:numFmt w:val="decimal"/>
      <w:lvlText w:val="%1."/>
      <w:lvlJc w:val="left"/>
      <w:pPr>
        <w:ind w:left="490" w:hanging="490"/>
      </w:pPr>
      <w:rPr>
        <w:rFonts w:hint="default"/>
      </w:rPr>
    </w:lvl>
    <w:lvl w:ilvl="1">
      <w:start w:val="1"/>
      <w:numFmt w:val="decimal"/>
      <w:lvlText w:val="%1.%2."/>
      <w:lvlJc w:val="left"/>
      <w:pPr>
        <w:ind w:left="835" w:hanging="49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 w15:restartNumberingAfterBreak="0">
    <w:nsid w:val="4AD51F7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CB56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2F2944"/>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8E5B8A"/>
    <w:multiLevelType w:val="hybridMultilevel"/>
    <w:tmpl w:val="17EC0390"/>
    <w:lvl w:ilvl="0" w:tplc="4A8A1956">
      <w:numFmt w:val="bullet"/>
      <w:lvlText w:val="•"/>
      <w:lvlJc w:val="left"/>
      <w:pPr>
        <w:ind w:left="1287" w:hanging="435"/>
      </w:pPr>
      <w:rPr>
        <w:rFonts w:ascii="Times New Roman" w:eastAsia="Times New Roman" w:hAnsi="Times New Roman" w:cs="Times New Roman"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13" w15:restartNumberingAfterBreak="0">
    <w:nsid w:val="61D31776"/>
    <w:multiLevelType w:val="hybridMultilevel"/>
    <w:tmpl w:val="91B2CD1A"/>
    <w:lvl w:ilvl="0" w:tplc="04250001">
      <w:start w:val="1"/>
      <w:numFmt w:val="bullet"/>
      <w:lvlText w:val=""/>
      <w:lvlJc w:val="left"/>
      <w:pPr>
        <w:ind w:left="1996" w:hanging="360"/>
      </w:pPr>
      <w:rPr>
        <w:rFonts w:ascii="Symbol" w:hAnsi="Symbol" w:hint="default"/>
      </w:rPr>
    </w:lvl>
    <w:lvl w:ilvl="1" w:tplc="04250003" w:tentative="1">
      <w:start w:val="1"/>
      <w:numFmt w:val="bullet"/>
      <w:lvlText w:val="o"/>
      <w:lvlJc w:val="left"/>
      <w:pPr>
        <w:ind w:left="2716" w:hanging="360"/>
      </w:pPr>
      <w:rPr>
        <w:rFonts w:ascii="Courier New" w:hAnsi="Courier New" w:cs="Courier New" w:hint="default"/>
      </w:rPr>
    </w:lvl>
    <w:lvl w:ilvl="2" w:tplc="04250005" w:tentative="1">
      <w:start w:val="1"/>
      <w:numFmt w:val="bullet"/>
      <w:lvlText w:val=""/>
      <w:lvlJc w:val="left"/>
      <w:pPr>
        <w:ind w:left="3436" w:hanging="360"/>
      </w:pPr>
      <w:rPr>
        <w:rFonts w:ascii="Wingdings" w:hAnsi="Wingdings" w:hint="default"/>
      </w:rPr>
    </w:lvl>
    <w:lvl w:ilvl="3" w:tplc="04250001" w:tentative="1">
      <w:start w:val="1"/>
      <w:numFmt w:val="bullet"/>
      <w:lvlText w:val=""/>
      <w:lvlJc w:val="left"/>
      <w:pPr>
        <w:ind w:left="4156" w:hanging="360"/>
      </w:pPr>
      <w:rPr>
        <w:rFonts w:ascii="Symbol" w:hAnsi="Symbol" w:hint="default"/>
      </w:rPr>
    </w:lvl>
    <w:lvl w:ilvl="4" w:tplc="04250003" w:tentative="1">
      <w:start w:val="1"/>
      <w:numFmt w:val="bullet"/>
      <w:lvlText w:val="o"/>
      <w:lvlJc w:val="left"/>
      <w:pPr>
        <w:ind w:left="4876" w:hanging="360"/>
      </w:pPr>
      <w:rPr>
        <w:rFonts w:ascii="Courier New" w:hAnsi="Courier New" w:cs="Courier New" w:hint="default"/>
      </w:rPr>
    </w:lvl>
    <w:lvl w:ilvl="5" w:tplc="04250005" w:tentative="1">
      <w:start w:val="1"/>
      <w:numFmt w:val="bullet"/>
      <w:lvlText w:val=""/>
      <w:lvlJc w:val="left"/>
      <w:pPr>
        <w:ind w:left="5596" w:hanging="360"/>
      </w:pPr>
      <w:rPr>
        <w:rFonts w:ascii="Wingdings" w:hAnsi="Wingdings" w:hint="default"/>
      </w:rPr>
    </w:lvl>
    <w:lvl w:ilvl="6" w:tplc="04250001" w:tentative="1">
      <w:start w:val="1"/>
      <w:numFmt w:val="bullet"/>
      <w:lvlText w:val=""/>
      <w:lvlJc w:val="left"/>
      <w:pPr>
        <w:ind w:left="6316" w:hanging="360"/>
      </w:pPr>
      <w:rPr>
        <w:rFonts w:ascii="Symbol" w:hAnsi="Symbol" w:hint="default"/>
      </w:rPr>
    </w:lvl>
    <w:lvl w:ilvl="7" w:tplc="04250003" w:tentative="1">
      <w:start w:val="1"/>
      <w:numFmt w:val="bullet"/>
      <w:lvlText w:val="o"/>
      <w:lvlJc w:val="left"/>
      <w:pPr>
        <w:ind w:left="7036" w:hanging="360"/>
      </w:pPr>
      <w:rPr>
        <w:rFonts w:ascii="Courier New" w:hAnsi="Courier New" w:cs="Courier New" w:hint="default"/>
      </w:rPr>
    </w:lvl>
    <w:lvl w:ilvl="8" w:tplc="04250005" w:tentative="1">
      <w:start w:val="1"/>
      <w:numFmt w:val="bullet"/>
      <w:lvlText w:val=""/>
      <w:lvlJc w:val="left"/>
      <w:pPr>
        <w:ind w:left="7756" w:hanging="360"/>
      </w:pPr>
      <w:rPr>
        <w:rFonts w:ascii="Wingdings" w:hAnsi="Wingdings" w:hint="default"/>
      </w:rPr>
    </w:lvl>
  </w:abstractNum>
  <w:abstractNum w:abstractNumId="14" w15:restartNumberingAfterBreak="0">
    <w:nsid w:val="672E1728"/>
    <w:multiLevelType w:val="multilevel"/>
    <w:tmpl w:val="B224B6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7E594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3A0A38"/>
    <w:multiLevelType w:val="hybridMultilevel"/>
    <w:tmpl w:val="5330EAB4"/>
    <w:lvl w:ilvl="0" w:tplc="04250011">
      <w:start w:val="1"/>
      <w:numFmt w:val="decimal"/>
      <w:lvlText w:val="%1)"/>
      <w:lvlJc w:val="left"/>
      <w:pPr>
        <w:ind w:left="1065" w:hanging="360"/>
      </w:p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17" w15:restartNumberingAfterBreak="0">
    <w:nsid w:val="792A0C23"/>
    <w:multiLevelType w:val="hybridMultilevel"/>
    <w:tmpl w:val="982C72D2"/>
    <w:lvl w:ilvl="0" w:tplc="4A8A1956">
      <w:numFmt w:val="bullet"/>
      <w:lvlText w:val="•"/>
      <w:lvlJc w:val="left"/>
      <w:pPr>
        <w:ind w:left="1286" w:hanging="435"/>
      </w:pPr>
      <w:rPr>
        <w:rFonts w:ascii="Times New Roman" w:eastAsia="Times New Roman" w:hAnsi="Times New Roman" w:cs="Times New Roman"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8" w15:restartNumberingAfterBreak="0">
    <w:nsid w:val="7E37551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DF58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994232">
    <w:abstractNumId w:val="6"/>
  </w:num>
  <w:num w:numId="2" w16cid:durableId="1955283302">
    <w:abstractNumId w:val="4"/>
  </w:num>
  <w:num w:numId="3" w16cid:durableId="1246458561">
    <w:abstractNumId w:val="1"/>
  </w:num>
  <w:num w:numId="4" w16cid:durableId="604197220">
    <w:abstractNumId w:val="3"/>
  </w:num>
  <w:num w:numId="5" w16cid:durableId="1851680703">
    <w:abstractNumId w:val="12"/>
  </w:num>
  <w:num w:numId="6" w16cid:durableId="884755086">
    <w:abstractNumId w:val="17"/>
  </w:num>
  <w:num w:numId="7" w16cid:durableId="8874027">
    <w:abstractNumId w:val="16"/>
  </w:num>
  <w:num w:numId="8" w16cid:durableId="222064082">
    <w:abstractNumId w:val="13"/>
  </w:num>
  <w:num w:numId="9" w16cid:durableId="1908607834">
    <w:abstractNumId w:val="5"/>
  </w:num>
  <w:num w:numId="10" w16cid:durableId="895244354">
    <w:abstractNumId w:val="2"/>
  </w:num>
  <w:num w:numId="11" w16cid:durableId="106587818">
    <w:abstractNumId w:val="10"/>
  </w:num>
  <w:num w:numId="12" w16cid:durableId="1560364972">
    <w:abstractNumId w:val="8"/>
  </w:num>
  <w:num w:numId="13" w16cid:durableId="1574781268">
    <w:abstractNumId w:val="19"/>
  </w:num>
  <w:num w:numId="14" w16cid:durableId="1865895414">
    <w:abstractNumId w:val="18"/>
  </w:num>
  <w:num w:numId="15" w16cid:durableId="298265825">
    <w:abstractNumId w:val="15"/>
  </w:num>
  <w:num w:numId="16" w16cid:durableId="780959557">
    <w:abstractNumId w:val="9"/>
  </w:num>
  <w:num w:numId="17" w16cid:durableId="557937667">
    <w:abstractNumId w:val="14"/>
  </w:num>
  <w:num w:numId="18" w16cid:durableId="2018457435">
    <w:abstractNumId w:val="11"/>
  </w:num>
  <w:num w:numId="19" w16cid:durableId="1829206171">
    <w:abstractNumId w:val="7"/>
  </w:num>
  <w:num w:numId="20" w16cid:durableId="198812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86"/>
    <w:rsid w:val="00010646"/>
    <w:rsid w:val="00017B68"/>
    <w:rsid w:val="00050B6F"/>
    <w:rsid w:val="00054B72"/>
    <w:rsid w:val="0005532C"/>
    <w:rsid w:val="0005702A"/>
    <w:rsid w:val="00062ABA"/>
    <w:rsid w:val="00093E72"/>
    <w:rsid w:val="00096A15"/>
    <w:rsid w:val="000A6916"/>
    <w:rsid w:val="000B0B07"/>
    <w:rsid w:val="000B621D"/>
    <w:rsid w:val="000C3C7C"/>
    <w:rsid w:val="000E350C"/>
    <w:rsid w:val="00112990"/>
    <w:rsid w:val="00115228"/>
    <w:rsid w:val="001259DE"/>
    <w:rsid w:val="00127756"/>
    <w:rsid w:val="001403AE"/>
    <w:rsid w:val="00147D65"/>
    <w:rsid w:val="00150297"/>
    <w:rsid w:val="001649E9"/>
    <w:rsid w:val="00174206"/>
    <w:rsid w:val="001B18D5"/>
    <w:rsid w:val="001C0AA6"/>
    <w:rsid w:val="001C32D6"/>
    <w:rsid w:val="001C5162"/>
    <w:rsid w:val="001D7222"/>
    <w:rsid w:val="001F1F65"/>
    <w:rsid w:val="001F7CF9"/>
    <w:rsid w:val="00203550"/>
    <w:rsid w:val="00206A99"/>
    <w:rsid w:val="002260CB"/>
    <w:rsid w:val="00255B65"/>
    <w:rsid w:val="002618EE"/>
    <w:rsid w:val="00263FDF"/>
    <w:rsid w:val="00274F5B"/>
    <w:rsid w:val="00287382"/>
    <w:rsid w:val="00290D14"/>
    <w:rsid w:val="002923FD"/>
    <w:rsid w:val="002B1D45"/>
    <w:rsid w:val="002D2464"/>
    <w:rsid w:val="002D3514"/>
    <w:rsid w:val="002E604F"/>
    <w:rsid w:val="002E7584"/>
    <w:rsid w:val="00300AA7"/>
    <w:rsid w:val="00301021"/>
    <w:rsid w:val="00311F32"/>
    <w:rsid w:val="003223C2"/>
    <w:rsid w:val="00323FA5"/>
    <w:rsid w:val="00324548"/>
    <w:rsid w:val="00335027"/>
    <w:rsid w:val="003407F1"/>
    <w:rsid w:val="003449D2"/>
    <w:rsid w:val="0035035C"/>
    <w:rsid w:val="00373428"/>
    <w:rsid w:val="003773EC"/>
    <w:rsid w:val="00392E61"/>
    <w:rsid w:val="00395A51"/>
    <w:rsid w:val="003A38B6"/>
    <w:rsid w:val="003A5099"/>
    <w:rsid w:val="003A5643"/>
    <w:rsid w:val="003C02BF"/>
    <w:rsid w:val="003E3DF7"/>
    <w:rsid w:val="00402B8C"/>
    <w:rsid w:val="004147DD"/>
    <w:rsid w:val="00415558"/>
    <w:rsid w:val="00420CB4"/>
    <w:rsid w:val="00431326"/>
    <w:rsid w:val="00434AC2"/>
    <w:rsid w:val="00436FCA"/>
    <w:rsid w:val="0044299C"/>
    <w:rsid w:val="004449CD"/>
    <w:rsid w:val="004461C9"/>
    <w:rsid w:val="00457832"/>
    <w:rsid w:val="004671F2"/>
    <w:rsid w:val="004672DE"/>
    <w:rsid w:val="0047322A"/>
    <w:rsid w:val="00484A34"/>
    <w:rsid w:val="00487A21"/>
    <w:rsid w:val="00490D69"/>
    <w:rsid w:val="0049631E"/>
    <w:rsid w:val="00497321"/>
    <w:rsid w:val="004A15FF"/>
    <w:rsid w:val="004D2CF1"/>
    <w:rsid w:val="004D435F"/>
    <w:rsid w:val="004E3BC0"/>
    <w:rsid w:val="00505F8E"/>
    <w:rsid w:val="00513C25"/>
    <w:rsid w:val="00516934"/>
    <w:rsid w:val="005233BD"/>
    <w:rsid w:val="0052600F"/>
    <w:rsid w:val="00527EB5"/>
    <w:rsid w:val="00530830"/>
    <w:rsid w:val="005371D3"/>
    <w:rsid w:val="00544531"/>
    <w:rsid w:val="00551BB5"/>
    <w:rsid w:val="0056049E"/>
    <w:rsid w:val="00572F02"/>
    <w:rsid w:val="00583A86"/>
    <w:rsid w:val="005B5760"/>
    <w:rsid w:val="005B581F"/>
    <w:rsid w:val="005C072A"/>
    <w:rsid w:val="005F2620"/>
    <w:rsid w:val="005F409D"/>
    <w:rsid w:val="005F71B3"/>
    <w:rsid w:val="00610466"/>
    <w:rsid w:val="006113CB"/>
    <w:rsid w:val="00624CF4"/>
    <w:rsid w:val="006279F0"/>
    <w:rsid w:val="00627F36"/>
    <w:rsid w:val="0063324E"/>
    <w:rsid w:val="0063432A"/>
    <w:rsid w:val="00640087"/>
    <w:rsid w:val="0065046B"/>
    <w:rsid w:val="00653C40"/>
    <w:rsid w:val="00662C95"/>
    <w:rsid w:val="00664D5B"/>
    <w:rsid w:val="006666D3"/>
    <w:rsid w:val="0067300F"/>
    <w:rsid w:val="00683F67"/>
    <w:rsid w:val="00685092"/>
    <w:rsid w:val="00685B3D"/>
    <w:rsid w:val="00693AB6"/>
    <w:rsid w:val="00694E08"/>
    <w:rsid w:val="006B52AD"/>
    <w:rsid w:val="006B723C"/>
    <w:rsid w:val="006D1EFF"/>
    <w:rsid w:val="0072076F"/>
    <w:rsid w:val="0074093D"/>
    <w:rsid w:val="00740B0F"/>
    <w:rsid w:val="007727AF"/>
    <w:rsid w:val="007748A4"/>
    <w:rsid w:val="00785036"/>
    <w:rsid w:val="00785B35"/>
    <w:rsid w:val="007904A0"/>
    <w:rsid w:val="007B433C"/>
    <w:rsid w:val="007B46BD"/>
    <w:rsid w:val="007C3EC4"/>
    <w:rsid w:val="007E6D19"/>
    <w:rsid w:val="0081118F"/>
    <w:rsid w:val="00815FCA"/>
    <w:rsid w:val="00826E93"/>
    <w:rsid w:val="0084302D"/>
    <w:rsid w:val="00844FFF"/>
    <w:rsid w:val="0084583E"/>
    <w:rsid w:val="00855A42"/>
    <w:rsid w:val="008566E1"/>
    <w:rsid w:val="008625BC"/>
    <w:rsid w:val="00872EC2"/>
    <w:rsid w:val="008967EC"/>
    <w:rsid w:val="008B5F27"/>
    <w:rsid w:val="008C3F90"/>
    <w:rsid w:val="008C5DA7"/>
    <w:rsid w:val="008C674E"/>
    <w:rsid w:val="008D0A28"/>
    <w:rsid w:val="008D33EF"/>
    <w:rsid w:val="008D54BE"/>
    <w:rsid w:val="008F5256"/>
    <w:rsid w:val="00901FEE"/>
    <w:rsid w:val="00905691"/>
    <w:rsid w:val="009073B4"/>
    <w:rsid w:val="00910A7A"/>
    <w:rsid w:val="00925587"/>
    <w:rsid w:val="00926BB3"/>
    <w:rsid w:val="00930F05"/>
    <w:rsid w:val="00936618"/>
    <w:rsid w:val="0095514E"/>
    <w:rsid w:val="00964987"/>
    <w:rsid w:val="0096584A"/>
    <w:rsid w:val="00974426"/>
    <w:rsid w:val="00981798"/>
    <w:rsid w:val="009A5146"/>
    <w:rsid w:val="009A6C96"/>
    <w:rsid w:val="009A7312"/>
    <w:rsid w:val="009C371F"/>
    <w:rsid w:val="009F303C"/>
    <w:rsid w:val="009F7317"/>
    <w:rsid w:val="00A00DEC"/>
    <w:rsid w:val="00A044D6"/>
    <w:rsid w:val="00A33CF1"/>
    <w:rsid w:val="00A36DF9"/>
    <w:rsid w:val="00A533D7"/>
    <w:rsid w:val="00A6414B"/>
    <w:rsid w:val="00A65BE8"/>
    <w:rsid w:val="00A703D1"/>
    <w:rsid w:val="00A73659"/>
    <w:rsid w:val="00AA736D"/>
    <w:rsid w:val="00AB3930"/>
    <w:rsid w:val="00AD05DE"/>
    <w:rsid w:val="00AE6E97"/>
    <w:rsid w:val="00AF0934"/>
    <w:rsid w:val="00AF20AB"/>
    <w:rsid w:val="00B02777"/>
    <w:rsid w:val="00B26C62"/>
    <w:rsid w:val="00B2793C"/>
    <w:rsid w:val="00B53971"/>
    <w:rsid w:val="00B55330"/>
    <w:rsid w:val="00B66996"/>
    <w:rsid w:val="00B73E79"/>
    <w:rsid w:val="00BA0594"/>
    <w:rsid w:val="00BB0AFF"/>
    <w:rsid w:val="00BB7BFE"/>
    <w:rsid w:val="00BC290E"/>
    <w:rsid w:val="00BC5053"/>
    <w:rsid w:val="00BC6B0E"/>
    <w:rsid w:val="00BD1301"/>
    <w:rsid w:val="00BD79FA"/>
    <w:rsid w:val="00BE1D34"/>
    <w:rsid w:val="00BE3B41"/>
    <w:rsid w:val="00C06671"/>
    <w:rsid w:val="00C368DE"/>
    <w:rsid w:val="00C40284"/>
    <w:rsid w:val="00C45221"/>
    <w:rsid w:val="00C512B1"/>
    <w:rsid w:val="00C548AE"/>
    <w:rsid w:val="00C91897"/>
    <w:rsid w:val="00CA4199"/>
    <w:rsid w:val="00CA49FF"/>
    <w:rsid w:val="00CB073A"/>
    <w:rsid w:val="00CB0AC9"/>
    <w:rsid w:val="00CB0E0F"/>
    <w:rsid w:val="00CD1208"/>
    <w:rsid w:val="00D121E4"/>
    <w:rsid w:val="00D15FDB"/>
    <w:rsid w:val="00D178C2"/>
    <w:rsid w:val="00D324A9"/>
    <w:rsid w:val="00D335C6"/>
    <w:rsid w:val="00D50006"/>
    <w:rsid w:val="00D51720"/>
    <w:rsid w:val="00D62AA6"/>
    <w:rsid w:val="00D63F9A"/>
    <w:rsid w:val="00D6614F"/>
    <w:rsid w:val="00D66E62"/>
    <w:rsid w:val="00D720D1"/>
    <w:rsid w:val="00D72939"/>
    <w:rsid w:val="00D72D42"/>
    <w:rsid w:val="00D771C2"/>
    <w:rsid w:val="00D828E4"/>
    <w:rsid w:val="00D83E82"/>
    <w:rsid w:val="00D932F7"/>
    <w:rsid w:val="00DA4C70"/>
    <w:rsid w:val="00DB4CEB"/>
    <w:rsid w:val="00DB591E"/>
    <w:rsid w:val="00DC1DD5"/>
    <w:rsid w:val="00DC64B6"/>
    <w:rsid w:val="00DC66AB"/>
    <w:rsid w:val="00DE47E9"/>
    <w:rsid w:val="00DF00B4"/>
    <w:rsid w:val="00E05074"/>
    <w:rsid w:val="00E05CBB"/>
    <w:rsid w:val="00E110E5"/>
    <w:rsid w:val="00E11889"/>
    <w:rsid w:val="00E3332F"/>
    <w:rsid w:val="00E456A4"/>
    <w:rsid w:val="00E45AC6"/>
    <w:rsid w:val="00E52F2B"/>
    <w:rsid w:val="00E574AC"/>
    <w:rsid w:val="00E7007D"/>
    <w:rsid w:val="00E85704"/>
    <w:rsid w:val="00E8603E"/>
    <w:rsid w:val="00E97022"/>
    <w:rsid w:val="00EA670C"/>
    <w:rsid w:val="00EB7EA3"/>
    <w:rsid w:val="00EC6D13"/>
    <w:rsid w:val="00EC7B4D"/>
    <w:rsid w:val="00EF733F"/>
    <w:rsid w:val="00F00999"/>
    <w:rsid w:val="00F15519"/>
    <w:rsid w:val="00F2363A"/>
    <w:rsid w:val="00F37D00"/>
    <w:rsid w:val="00F41D0C"/>
    <w:rsid w:val="00F63B30"/>
    <w:rsid w:val="00F670F7"/>
    <w:rsid w:val="00F968C9"/>
    <w:rsid w:val="00F97167"/>
    <w:rsid w:val="00FA0372"/>
    <w:rsid w:val="00FB7E66"/>
    <w:rsid w:val="00FC14AC"/>
    <w:rsid w:val="00FF2606"/>
    <w:rsid w:val="00FF4D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EC24E5"/>
  <w15:docId w15:val="{02B84FE8-D5BF-4F9D-BF72-7253A9C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8" w:line="253" w:lineRule="auto"/>
      <w:ind w:left="10" w:right="4"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FC14AC"/>
    <w:pPr>
      <w:ind w:left="720"/>
      <w:contextualSpacing/>
    </w:pPr>
  </w:style>
  <w:style w:type="character" w:styleId="Hperlink">
    <w:name w:val="Hyperlink"/>
    <w:basedOn w:val="Liguvaikefont"/>
    <w:uiPriority w:val="99"/>
    <w:unhideWhenUsed/>
    <w:rsid w:val="00CA4199"/>
    <w:rPr>
      <w:color w:val="0563C1" w:themeColor="hyperlink"/>
      <w:u w:val="single"/>
    </w:rPr>
  </w:style>
  <w:style w:type="character" w:styleId="Lahendamatamainimine">
    <w:name w:val="Unresolved Mention"/>
    <w:basedOn w:val="Liguvaikefont"/>
    <w:uiPriority w:val="99"/>
    <w:semiHidden/>
    <w:unhideWhenUsed/>
    <w:rsid w:val="00CA4199"/>
    <w:rPr>
      <w:color w:val="605E5C"/>
      <w:shd w:val="clear" w:color="auto" w:fill="E1DFDD"/>
    </w:rPr>
  </w:style>
  <w:style w:type="character" w:styleId="Kommentaariviide">
    <w:name w:val="annotation reference"/>
    <w:basedOn w:val="Liguvaikefont"/>
    <w:uiPriority w:val="99"/>
    <w:semiHidden/>
    <w:unhideWhenUsed/>
    <w:rsid w:val="00E7007D"/>
    <w:rPr>
      <w:sz w:val="16"/>
      <w:szCs w:val="16"/>
    </w:rPr>
  </w:style>
  <w:style w:type="paragraph" w:styleId="Kommentaaritekst">
    <w:name w:val="annotation text"/>
    <w:basedOn w:val="Normaallaad"/>
    <w:link w:val="KommentaaritekstMrk"/>
    <w:uiPriority w:val="99"/>
    <w:unhideWhenUsed/>
    <w:rsid w:val="00E7007D"/>
    <w:pPr>
      <w:spacing w:line="240" w:lineRule="auto"/>
    </w:pPr>
    <w:rPr>
      <w:sz w:val="20"/>
      <w:szCs w:val="20"/>
    </w:rPr>
  </w:style>
  <w:style w:type="character" w:customStyle="1" w:styleId="KommentaaritekstMrk">
    <w:name w:val="Kommentaari tekst Märk"/>
    <w:basedOn w:val="Liguvaikefont"/>
    <w:link w:val="Kommentaaritekst"/>
    <w:uiPriority w:val="99"/>
    <w:rsid w:val="00E7007D"/>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E7007D"/>
    <w:rPr>
      <w:b/>
      <w:bCs/>
    </w:rPr>
  </w:style>
  <w:style w:type="character" w:customStyle="1" w:styleId="KommentaariteemaMrk">
    <w:name w:val="Kommentaari teema Märk"/>
    <w:basedOn w:val="KommentaaritekstMrk"/>
    <w:link w:val="Kommentaariteema"/>
    <w:uiPriority w:val="99"/>
    <w:semiHidden/>
    <w:rsid w:val="00E7007D"/>
    <w:rPr>
      <w:rFonts w:ascii="Times New Roman" w:eastAsia="Times New Roman" w:hAnsi="Times New Roman" w:cs="Times New Roman"/>
      <w:b/>
      <w:bCs/>
      <w:color w:val="000000"/>
      <w:sz w:val="20"/>
      <w:szCs w:val="20"/>
    </w:rPr>
  </w:style>
  <w:style w:type="paragraph" w:styleId="Redaktsioon">
    <w:name w:val="Revision"/>
    <w:hidden/>
    <w:uiPriority w:val="99"/>
    <w:semiHidden/>
    <w:rsid w:val="00F41D0C"/>
    <w:pPr>
      <w:spacing w:after="0" w:line="240" w:lineRule="auto"/>
    </w:pPr>
    <w:rPr>
      <w:rFonts w:ascii="Times New Roman" w:eastAsia="Times New Roman" w:hAnsi="Times New Roman" w:cs="Times New Roman"/>
      <w:color w:val="000000"/>
      <w:sz w:val="24"/>
    </w:rPr>
  </w:style>
  <w:style w:type="character" w:styleId="Klastatudhperlink">
    <w:name w:val="FollowedHyperlink"/>
    <w:basedOn w:val="Liguvaikefont"/>
    <w:uiPriority w:val="99"/>
    <w:semiHidden/>
    <w:unhideWhenUsed/>
    <w:rsid w:val="00E574AC"/>
    <w:rPr>
      <w:color w:val="954F72" w:themeColor="followedHyperlink"/>
      <w:u w:val="single"/>
    </w:rPr>
  </w:style>
  <w:style w:type="paragraph" w:styleId="Allmrkusetekst">
    <w:name w:val="footnote text"/>
    <w:basedOn w:val="Normaallaad"/>
    <w:link w:val="AllmrkusetekstMrk"/>
    <w:uiPriority w:val="99"/>
    <w:semiHidden/>
    <w:unhideWhenUsed/>
    <w:rsid w:val="00844FF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44FFF"/>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844FFF"/>
    <w:rPr>
      <w:vertAlign w:val="superscript"/>
    </w:rPr>
  </w:style>
  <w:style w:type="paragraph" w:styleId="Pis">
    <w:name w:val="header"/>
    <w:basedOn w:val="Normaallaad"/>
    <w:link w:val="PisMrk"/>
    <w:uiPriority w:val="99"/>
    <w:unhideWhenUsed/>
    <w:rsid w:val="00685092"/>
    <w:pPr>
      <w:tabs>
        <w:tab w:val="center" w:pos="4536"/>
        <w:tab w:val="right" w:pos="9072"/>
      </w:tabs>
      <w:spacing w:after="0" w:line="240" w:lineRule="auto"/>
    </w:pPr>
  </w:style>
  <w:style w:type="character" w:customStyle="1" w:styleId="PisMrk">
    <w:name w:val="Päis Märk"/>
    <w:basedOn w:val="Liguvaikefont"/>
    <w:link w:val="Pis"/>
    <w:uiPriority w:val="99"/>
    <w:rsid w:val="00685092"/>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85092"/>
    <w:pPr>
      <w:tabs>
        <w:tab w:val="center" w:pos="4536"/>
        <w:tab w:val="right" w:pos="9072"/>
      </w:tabs>
      <w:spacing w:after="0" w:line="240" w:lineRule="auto"/>
    </w:pPr>
  </w:style>
  <w:style w:type="character" w:customStyle="1" w:styleId="JalusMrk">
    <w:name w:val="Jalus Märk"/>
    <w:basedOn w:val="Liguvaikefont"/>
    <w:link w:val="Jalus"/>
    <w:uiPriority w:val="99"/>
    <w:rsid w:val="00685092"/>
    <w:rPr>
      <w:rFonts w:ascii="Times New Roman" w:eastAsia="Times New Roman" w:hAnsi="Times New Roman" w:cs="Times New Roman"/>
      <w:color w:val="000000"/>
      <w:sz w:val="24"/>
    </w:rPr>
  </w:style>
  <w:style w:type="table" w:styleId="Kontuurtabel">
    <w:name w:val="Table Grid"/>
    <w:basedOn w:val="Normaaltabel"/>
    <w:uiPriority w:val="39"/>
    <w:rsid w:val="00BA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F236A-8D2A-45EC-8BCB-77C0F511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Pages>
  <Words>1489</Words>
  <Characters>8638</Characters>
  <Application>Microsoft Office Word</Application>
  <DocSecurity>0</DocSecurity>
  <Lines>71</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Madis.Ostra@ttja.ee</dc:creator>
  <cp:keywords/>
  <cp:lastModifiedBy>Helen Rohtla</cp:lastModifiedBy>
  <cp:revision>12</cp:revision>
  <dcterms:created xsi:type="dcterms:W3CDTF">2025-10-27T13:45:00Z</dcterms:created>
  <dcterms:modified xsi:type="dcterms:W3CDTF">2025-12-04T20:53:00Z</dcterms:modified>
</cp:coreProperties>
</file>